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4EFAB" w14:textId="77777777" w:rsidR="000F7048" w:rsidRDefault="000F7048" w:rsidP="003E5F54">
      <w:pPr>
        <w:widowControl w:val="0"/>
        <w:autoSpaceDE w:val="0"/>
        <w:autoSpaceDN w:val="0"/>
        <w:adjustRightInd w:val="0"/>
        <w:spacing w:line="360" w:lineRule="auto"/>
        <w:rPr>
          <w:rFonts w:ascii="Arial" w:hAnsi="Arial" w:cs="Arial"/>
          <w:b/>
          <w:sz w:val="28"/>
          <w:szCs w:val="28"/>
        </w:rPr>
      </w:pPr>
      <w:r>
        <w:rPr>
          <w:rFonts w:ascii="Arial" w:hAnsi="Arial" w:cs="Arial"/>
          <w:b/>
          <w:sz w:val="28"/>
          <w:szCs w:val="28"/>
        </w:rPr>
        <w:t>Supporting</w:t>
      </w:r>
      <w:r w:rsidRPr="00A50C1F">
        <w:rPr>
          <w:rFonts w:ascii="Arial" w:hAnsi="Arial" w:cs="Arial"/>
          <w:b/>
          <w:sz w:val="28"/>
          <w:szCs w:val="28"/>
        </w:rPr>
        <w:t xml:space="preserve"> </w:t>
      </w:r>
      <w:r>
        <w:rPr>
          <w:rFonts w:ascii="Arial" w:hAnsi="Arial" w:cs="Arial"/>
          <w:b/>
          <w:sz w:val="28"/>
          <w:szCs w:val="28"/>
        </w:rPr>
        <w:t>Information</w:t>
      </w:r>
    </w:p>
    <w:p w14:paraId="0C4E1E34" w14:textId="1D40F132" w:rsidR="003E5F54" w:rsidRPr="003E5F54" w:rsidRDefault="000F7048" w:rsidP="003E5F54">
      <w:pPr>
        <w:spacing w:line="360" w:lineRule="auto"/>
        <w:rPr>
          <w:rFonts w:ascii="Arial" w:hAnsi="Arial" w:cs="Arial"/>
          <w:i/>
          <w:sz w:val="22"/>
          <w:szCs w:val="22"/>
        </w:rPr>
      </w:pPr>
      <w:r w:rsidRPr="003E5F54">
        <w:rPr>
          <w:rFonts w:ascii="Arial" w:hAnsi="Arial" w:cs="Arial"/>
          <w:i/>
          <w:sz w:val="22"/>
          <w:szCs w:val="22"/>
        </w:rPr>
        <w:t xml:space="preserve">Resource base influences genome-wide DNA methylation levels in wild baboons </w:t>
      </w:r>
    </w:p>
    <w:p w14:paraId="41993C63" w14:textId="77777777" w:rsidR="003E5F54" w:rsidRDefault="003E5F54" w:rsidP="003E5F54">
      <w:pPr>
        <w:spacing w:line="360" w:lineRule="auto"/>
        <w:rPr>
          <w:rFonts w:ascii="Arial" w:hAnsi="Arial"/>
          <w:b/>
          <w:color w:val="000000"/>
        </w:rPr>
      </w:pPr>
    </w:p>
    <w:p w14:paraId="383F3E77" w14:textId="698ED90B" w:rsidR="003E5F54" w:rsidRPr="003941CD" w:rsidRDefault="003E5F54" w:rsidP="003E5F54">
      <w:pPr>
        <w:spacing w:line="360" w:lineRule="auto"/>
        <w:rPr>
          <w:rFonts w:ascii="Arial" w:hAnsi="Arial"/>
          <w:color w:val="000000"/>
        </w:rPr>
      </w:pPr>
      <w:r w:rsidRPr="003941CD">
        <w:rPr>
          <w:rFonts w:ascii="Arial" w:hAnsi="Arial"/>
          <w:color w:val="000000"/>
        </w:rPr>
        <w:t>RRBS library construction, sequencing, and data processing</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2</w:t>
      </w:r>
    </w:p>
    <w:p w14:paraId="6D4C2854" w14:textId="6C713F87" w:rsidR="003E5F54" w:rsidRPr="003941CD" w:rsidRDefault="003E5F54" w:rsidP="003E5F54">
      <w:pPr>
        <w:spacing w:line="360" w:lineRule="auto"/>
        <w:rPr>
          <w:rFonts w:ascii="Arial" w:hAnsi="Arial"/>
          <w:color w:val="000000"/>
        </w:rPr>
      </w:pPr>
      <w:r w:rsidRPr="003941CD">
        <w:rPr>
          <w:rFonts w:ascii="Arial" w:hAnsi="Arial"/>
          <w:color w:val="000000"/>
        </w:rPr>
        <w:t>Testing for effects of resource base on DNA methylation levels</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3</w:t>
      </w:r>
    </w:p>
    <w:p w14:paraId="1DB41B33" w14:textId="4ACD4D47" w:rsidR="003E5F54" w:rsidRPr="003941CD" w:rsidRDefault="003E5F54" w:rsidP="003E5F54">
      <w:pPr>
        <w:spacing w:line="360" w:lineRule="auto"/>
        <w:rPr>
          <w:rFonts w:ascii="Arial" w:hAnsi="Arial"/>
          <w:color w:val="000000"/>
        </w:rPr>
      </w:pPr>
      <w:r w:rsidRPr="003941CD">
        <w:rPr>
          <w:rFonts w:ascii="Arial" w:hAnsi="Arial"/>
          <w:color w:val="000000"/>
        </w:rPr>
        <w:t>Estimating the relationship between sample size and power</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4</w:t>
      </w:r>
    </w:p>
    <w:p w14:paraId="21843099" w14:textId="33D449A6" w:rsidR="003E5F54" w:rsidRPr="003941CD" w:rsidRDefault="003E5F54" w:rsidP="003E5F54">
      <w:pPr>
        <w:spacing w:line="360" w:lineRule="auto"/>
        <w:rPr>
          <w:rFonts w:ascii="Arial" w:hAnsi="Arial"/>
          <w:color w:val="000000"/>
        </w:rPr>
      </w:pPr>
      <w:r w:rsidRPr="003941CD">
        <w:rPr>
          <w:rFonts w:ascii="Arial" w:hAnsi="Arial"/>
          <w:color w:val="000000"/>
        </w:rPr>
        <w:t>Testing for cell type heterogeneity-related confounds</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5</w:t>
      </w:r>
    </w:p>
    <w:p w14:paraId="6749127B" w14:textId="73ECA0C2" w:rsidR="003E5F54" w:rsidRPr="003941CD" w:rsidRDefault="003E5F54" w:rsidP="003E5F54">
      <w:pPr>
        <w:spacing w:line="360" w:lineRule="auto"/>
        <w:rPr>
          <w:rFonts w:ascii="Arial" w:hAnsi="Arial"/>
          <w:color w:val="000000"/>
        </w:rPr>
      </w:pPr>
      <w:r w:rsidRPr="003941CD">
        <w:rPr>
          <w:rFonts w:ascii="Arial" w:hAnsi="Arial"/>
          <w:color w:val="000000"/>
        </w:rPr>
        <w:t>Defining genomic compartments to test for enrichment of differentially methylated sites</w:t>
      </w:r>
      <w:r w:rsidRPr="003941CD">
        <w:rPr>
          <w:rFonts w:ascii="Arial" w:hAnsi="Arial"/>
          <w:color w:val="000000"/>
        </w:rPr>
        <w:tab/>
      </w:r>
      <w:r>
        <w:rPr>
          <w:rFonts w:ascii="Arial" w:hAnsi="Arial"/>
          <w:color w:val="000000"/>
        </w:rPr>
        <w:tab/>
      </w:r>
      <w:r w:rsidRPr="003941CD">
        <w:rPr>
          <w:rFonts w:ascii="Arial" w:hAnsi="Arial"/>
          <w:color w:val="000000"/>
        </w:rPr>
        <w:t>7</w:t>
      </w:r>
    </w:p>
    <w:p w14:paraId="7956DBA9" w14:textId="3AA51CB0" w:rsidR="003E5F54" w:rsidRPr="003941CD" w:rsidRDefault="003E5F54" w:rsidP="003E5F54">
      <w:pPr>
        <w:spacing w:line="360" w:lineRule="auto"/>
        <w:rPr>
          <w:rFonts w:ascii="Arial" w:hAnsi="Arial"/>
          <w:color w:val="000000"/>
        </w:rPr>
      </w:pPr>
      <w:r w:rsidRPr="003941CD">
        <w:rPr>
          <w:rFonts w:ascii="Arial" w:hAnsi="Arial"/>
          <w:color w:val="000000"/>
        </w:rPr>
        <w:t>Transforming count data to normalized methylation proportions</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8</w:t>
      </w:r>
    </w:p>
    <w:p w14:paraId="1435E094" w14:textId="06895002" w:rsidR="003E5F54" w:rsidRPr="003941CD" w:rsidRDefault="003E5F54" w:rsidP="003E5F54">
      <w:pPr>
        <w:spacing w:line="360" w:lineRule="auto"/>
        <w:rPr>
          <w:rFonts w:ascii="Arial" w:hAnsi="Arial"/>
          <w:color w:val="000000"/>
        </w:rPr>
      </w:pPr>
      <w:r w:rsidRPr="003941CD">
        <w:rPr>
          <w:rFonts w:ascii="Arial" w:hAnsi="Arial"/>
          <w:color w:val="000000"/>
        </w:rPr>
        <w:t>Testing the degree to which DMRs occur more often than expected by chance</w:t>
      </w:r>
      <w:r w:rsidRPr="003941CD">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8</w:t>
      </w:r>
    </w:p>
    <w:p w14:paraId="71F53CBE" w14:textId="1EA5843F" w:rsidR="003E5F54" w:rsidRPr="003941CD" w:rsidRDefault="003E5F54" w:rsidP="003E5F54">
      <w:pPr>
        <w:spacing w:line="360" w:lineRule="auto"/>
        <w:rPr>
          <w:rFonts w:ascii="Arial" w:hAnsi="Arial"/>
          <w:color w:val="000000"/>
        </w:rPr>
      </w:pPr>
      <w:r w:rsidRPr="003941CD">
        <w:rPr>
          <w:rFonts w:ascii="Arial" w:hAnsi="Arial"/>
          <w:i/>
          <w:color w:val="000000"/>
        </w:rPr>
        <w:t>PFKP</w:t>
      </w:r>
      <w:r w:rsidRPr="003941CD">
        <w:rPr>
          <w:rFonts w:ascii="Arial" w:hAnsi="Arial"/>
          <w:color w:val="000000"/>
        </w:rPr>
        <w:t xml:space="preserve"> reporter constructs</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9</w:t>
      </w:r>
    </w:p>
    <w:p w14:paraId="682840F4" w14:textId="6B4B0951" w:rsidR="003E5F54" w:rsidRPr="003941CD" w:rsidRDefault="003E5F54" w:rsidP="003E5F54">
      <w:pPr>
        <w:spacing w:line="360" w:lineRule="auto"/>
        <w:rPr>
          <w:rFonts w:ascii="Arial" w:hAnsi="Arial"/>
          <w:color w:val="000000"/>
        </w:rPr>
      </w:pPr>
      <w:r w:rsidRPr="003941CD">
        <w:rPr>
          <w:rFonts w:ascii="Arial" w:hAnsi="Arial"/>
          <w:color w:val="000000"/>
        </w:rPr>
        <w:t>Cell culture and transfection procedures</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11</w:t>
      </w:r>
    </w:p>
    <w:p w14:paraId="6B50BB43" w14:textId="079AAA97" w:rsidR="003E5F54" w:rsidRPr="003941CD" w:rsidRDefault="003E5F54" w:rsidP="003E5F54">
      <w:pPr>
        <w:spacing w:line="360" w:lineRule="auto"/>
        <w:rPr>
          <w:rFonts w:ascii="Arial" w:hAnsi="Arial"/>
          <w:color w:val="000000"/>
        </w:rPr>
      </w:pPr>
      <w:r w:rsidRPr="003941CD">
        <w:rPr>
          <w:rFonts w:ascii="Arial" w:hAnsi="Arial"/>
          <w:color w:val="000000"/>
        </w:rPr>
        <w:t>Using support vector machines to investigate the plasticity versus stability of DNA methylation</w:t>
      </w:r>
      <w:r w:rsidRPr="003941CD">
        <w:rPr>
          <w:rFonts w:ascii="Arial" w:hAnsi="Arial"/>
          <w:color w:val="000000"/>
        </w:rPr>
        <w:tab/>
        <w:t>12</w:t>
      </w:r>
    </w:p>
    <w:p w14:paraId="132CE564" w14:textId="12869046" w:rsidR="003E5F54" w:rsidRPr="003941CD" w:rsidRDefault="003E5F54" w:rsidP="003E5F54">
      <w:pPr>
        <w:spacing w:line="360" w:lineRule="auto"/>
        <w:rPr>
          <w:rFonts w:ascii="Arial" w:hAnsi="Arial"/>
          <w:color w:val="000000"/>
        </w:rPr>
      </w:pPr>
      <w:r w:rsidRPr="003941CD">
        <w:rPr>
          <w:rFonts w:ascii="Arial" w:hAnsi="Arial"/>
          <w:color w:val="000000"/>
        </w:rPr>
        <w:t>References</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14</w:t>
      </w:r>
    </w:p>
    <w:p w14:paraId="3C68DE1B" w14:textId="77777777" w:rsidR="003E5F54" w:rsidRPr="003941CD" w:rsidRDefault="003E5F54" w:rsidP="003E5F54">
      <w:pPr>
        <w:spacing w:line="360" w:lineRule="auto"/>
        <w:rPr>
          <w:rFonts w:ascii="Arial" w:hAnsi="Arial"/>
          <w:color w:val="000000"/>
        </w:rPr>
      </w:pPr>
    </w:p>
    <w:p w14:paraId="1E1D952A" w14:textId="6B9E8200" w:rsidR="003E5F54" w:rsidRPr="003941CD" w:rsidRDefault="003E5F54" w:rsidP="003E5F54">
      <w:pPr>
        <w:spacing w:line="360" w:lineRule="auto"/>
        <w:rPr>
          <w:rFonts w:ascii="Arial" w:hAnsi="Arial"/>
          <w:color w:val="000000"/>
        </w:rPr>
      </w:pPr>
      <w:r w:rsidRPr="003941CD">
        <w:rPr>
          <w:rFonts w:ascii="Arial" w:hAnsi="Arial"/>
          <w:color w:val="000000"/>
        </w:rPr>
        <w:t>Figure S1. Flow chart describing data processing steps and main analyses</w:t>
      </w:r>
      <w:r>
        <w:rPr>
          <w:rFonts w:ascii="Arial" w:hAnsi="Arial"/>
          <w:color w:val="000000"/>
        </w:rPr>
        <w:tab/>
      </w:r>
      <w:r>
        <w:rPr>
          <w:rFonts w:ascii="Arial" w:hAnsi="Arial"/>
          <w:color w:val="000000"/>
        </w:rPr>
        <w:tab/>
      </w:r>
      <w:r w:rsidRPr="003941CD">
        <w:rPr>
          <w:rFonts w:ascii="Arial" w:hAnsi="Arial"/>
          <w:color w:val="000000"/>
        </w:rPr>
        <w:tab/>
        <w:t>1</w:t>
      </w:r>
      <w:r>
        <w:rPr>
          <w:rFonts w:ascii="Arial" w:hAnsi="Arial"/>
          <w:color w:val="000000"/>
        </w:rPr>
        <w:t>8</w:t>
      </w:r>
    </w:p>
    <w:p w14:paraId="6FF0408D" w14:textId="5173ADBF" w:rsidR="003E5F54" w:rsidRPr="003941CD" w:rsidRDefault="003E5F54" w:rsidP="003E5F54">
      <w:pPr>
        <w:spacing w:line="360" w:lineRule="auto"/>
        <w:rPr>
          <w:rFonts w:ascii="Arial" w:hAnsi="Arial"/>
          <w:color w:val="000000"/>
        </w:rPr>
      </w:pPr>
      <w:r w:rsidRPr="003941CD">
        <w:rPr>
          <w:rFonts w:ascii="Arial" w:hAnsi="Arial"/>
          <w:color w:val="000000"/>
        </w:rPr>
        <w:t>Figure S2. Genomic compartment annotations used in this study</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ab/>
        <w:t>1</w:t>
      </w:r>
      <w:r>
        <w:rPr>
          <w:rFonts w:ascii="Arial" w:hAnsi="Arial"/>
          <w:color w:val="000000"/>
        </w:rPr>
        <w:t>9</w:t>
      </w:r>
    </w:p>
    <w:p w14:paraId="6EE94852" w14:textId="54815342" w:rsidR="003E5F54" w:rsidRPr="003941CD" w:rsidRDefault="003E5F54" w:rsidP="003E5F54">
      <w:pPr>
        <w:spacing w:line="360" w:lineRule="auto"/>
        <w:rPr>
          <w:rFonts w:ascii="Arial" w:hAnsi="Arial"/>
          <w:color w:val="000000"/>
        </w:rPr>
      </w:pPr>
      <w:r w:rsidRPr="003941CD">
        <w:rPr>
          <w:rFonts w:ascii="Arial" w:hAnsi="Arial"/>
          <w:color w:val="000000"/>
        </w:rPr>
        <w:t>Figure S3. Histone marks and genomic compartments associated with chromatin states</w:t>
      </w:r>
      <w:r>
        <w:rPr>
          <w:rFonts w:ascii="Arial" w:hAnsi="Arial"/>
          <w:color w:val="000000"/>
        </w:rPr>
        <w:tab/>
      </w:r>
      <w:r w:rsidRPr="003941CD">
        <w:rPr>
          <w:rFonts w:ascii="Arial" w:hAnsi="Arial"/>
          <w:color w:val="000000"/>
        </w:rPr>
        <w:tab/>
      </w:r>
      <w:r>
        <w:rPr>
          <w:rFonts w:ascii="Arial" w:hAnsi="Arial"/>
          <w:color w:val="000000"/>
        </w:rPr>
        <w:t>20</w:t>
      </w:r>
    </w:p>
    <w:p w14:paraId="06886F99" w14:textId="3A233485" w:rsidR="003E5F54" w:rsidRPr="003941CD" w:rsidRDefault="003E5F54" w:rsidP="003E5F54">
      <w:pPr>
        <w:spacing w:line="360" w:lineRule="auto"/>
        <w:rPr>
          <w:rFonts w:ascii="Arial" w:hAnsi="Arial"/>
          <w:color w:val="000000"/>
        </w:rPr>
      </w:pPr>
      <w:r w:rsidRPr="003941CD">
        <w:rPr>
          <w:rFonts w:ascii="Arial" w:hAnsi="Arial"/>
          <w:color w:val="000000"/>
        </w:rPr>
        <w:t>Figure S4. Differentially methylated sites are enriched near genes expressed in whole blood</w:t>
      </w:r>
      <w:r w:rsidRPr="003941CD">
        <w:rPr>
          <w:rFonts w:ascii="Arial" w:hAnsi="Arial"/>
          <w:color w:val="000000"/>
        </w:rPr>
        <w:tab/>
        <w:t>2</w:t>
      </w:r>
      <w:r>
        <w:rPr>
          <w:rFonts w:ascii="Arial" w:hAnsi="Arial"/>
          <w:color w:val="000000"/>
        </w:rPr>
        <w:t>1</w:t>
      </w:r>
    </w:p>
    <w:p w14:paraId="3B2DF329" w14:textId="0A95B0E8" w:rsidR="003E5F54" w:rsidRPr="003941CD" w:rsidRDefault="003E5F54" w:rsidP="003E5F54">
      <w:pPr>
        <w:spacing w:line="360" w:lineRule="auto"/>
        <w:rPr>
          <w:rFonts w:ascii="Arial" w:hAnsi="Arial"/>
          <w:color w:val="000000"/>
        </w:rPr>
      </w:pPr>
      <w:r w:rsidRPr="003941CD">
        <w:rPr>
          <w:rFonts w:ascii="Arial" w:hAnsi="Arial"/>
          <w:color w:val="000000"/>
        </w:rPr>
        <w:t>Figure S5. Effect of resource base on DNA methylat</w:t>
      </w:r>
      <w:r>
        <w:rPr>
          <w:rFonts w:ascii="Arial" w:hAnsi="Arial"/>
          <w:color w:val="000000"/>
        </w:rPr>
        <w:t>ion levels at the pathway level</w:t>
      </w:r>
      <w:r>
        <w:rPr>
          <w:rFonts w:ascii="Arial" w:hAnsi="Arial"/>
          <w:color w:val="000000"/>
        </w:rPr>
        <w:tab/>
      </w:r>
      <w:r>
        <w:rPr>
          <w:rFonts w:ascii="Arial" w:hAnsi="Arial"/>
          <w:color w:val="000000"/>
        </w:rPr>
        <w:tab/>
        <w:t>22</w:t>
      </w:r>
    </w:p>
    <w:p w14:paraId="6CD636AC" w14:textId="53342517" w:rsidR="003E5F54" w:rsidRPr="003941CD" w:rsidRDefault="003E5F54" w:rsidP="003E5F54">
      <w:pPr>
        <w:spacing w:line="360" w:lineRule="auto"/>
        <w:rPr>
          <w:rFonts w:ascii="Arial" w:hAnsi="Arial"/>
          <w:color w:val="000000"/>
        </w:rPr>
      </w:pPr>
      <w:r w:rsidRPr="003941CD">
        <w:rPr>
          <w:rFonts w:ascii="Arial" w:hAnsi="Arial"/>
          <w:color w:val="000000"/>
        </w:rPr>
        <w:t>Figure S6. DMRs are observed in the real data set mor</w:t>
      </w:r>
      <w:r>
        <w:rPr>
          <w:rFonts w:ascii="Arial" w:hAnsi="Arial"/>
          <w:color w:val="000000"/>
        </w:rPr>
        <w:t>e often than expected by chance</w:t>
      </w:r>
      <w:r>
        <w:rPr>
          <w:rFonts w:ascii="Arial" w:hAnsi="Arial"/>
          <w:color w:val="000000"/>
        </w:rPr>
        <w:tab/>
      </w:r>
      <w:r>
        <w:rPr>
          <w:rFonts w:ascii="Arial" w:hAnsi="Arial"/>
          <w:color w:val="000000"/>
        </w:rPr>
        <w:tab/>
        <w:t>23</w:t>
      </w:r>
    </w:p>
    <w:p w14:paraId="70FC48F6" w14:textId="5F67D153" w:rsidR="003E5F54" w:rsidRPr="003941CD" w:rsidRDefault="003E5F54" w:rsidP="003E5F54">
      <w:pPr>
        <w:spacing w:line="360" w:lineRule="auto"/>
        <w:rPr>
          <w:rFonts w:ascii="Arial" w:hAnsi="Arial"/>
          <w:color w:val="000000"/>
        </w:rPr>
      </w:pPr>
      <w:r w:rsidRPr="003941CD">
        <w:rPr>
          <w:rFonts w:ascii="Arial" w:hAnsi="Arial"/>
          <w:color w:val="000000"/>
        </w:rPr>
        <w:t>Figure S7. RRBS enriches for putatively functional regions of the genome and recapitulates known patterns of DNA methylation across the genome</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24</w:t>
      </w:r>
    </w:p>
    <w:p w14:paraId="1987F58A" w14:textId="64CDD2CF" w:rsidR="003E5F54" w:rsidRPr="003941CD" w:rsidRDefault="003E5F54" w:rsidP="003E5F54">
      <w:pPr>
        <w:spacing w:line="360" w:lineRule="auto"/>
        <w:rPr>
          <w:rFonts w:ascii="Arial" w:hAnsi="Arial"/>
          <w:color w:val="000000"/>
        </w:rPr>
      </w:pPr>
      <w:r w:rsidRPr="003941CD">
        <w:rPr>
          <w:rFonts w:ascii="Arial" w:hAnsi="Arial"/>
          <w:color w:val="000000"/>
        </w:rPr>
        <w:t>Figure S8. Power to detect differentially methylated sites increases with sample size</w:t>
      </w:r>
      <w:r w:rsidRPr="003941CD">
        <w:rPr>
          <w:rFonts w:ascii="Arial" w:hAnsi="Arial"/>
          <w:color w:val="000000"/>
        </w:rPr>
        <w:tab/>
      </w:r>
      <w:r>
        <w:rPr>
          <w:rFonts w:ascii="Arial" w:hAnsi="Arial"/>
          <w:color w:val="000000"/>
        </w:rPr>
        <w:tab/>
        <w:t>26</w:t>
      </w:r>
    </w:p>
    <w:p w14:paraId="0FE35F77" w14:textId="11D549ED" w:rsidR="003E5F54" w:rsidRPr="003941CD" w:rsidRDefault="003E5F54" w:rsidP="003E5F54">
      <w:pPr>
        <w:spacing w:line="360" w:lineRule="auto"/>
        <w:rPr>
          <w:rFonts w:ascii="Arial" w:hAnsi="Arial"/>
          <w:color w:val="000000"/>
        </w:rPr>
      </w:pPr>
      <w:r w:rsidRPr="003941CD">
        <w:rPr>
          <w:rFonts w:ascii="Arial" w:hAnsi="Arial"/>
          <w:color w:val="000000"/>
        </w:rPr>
        <w:t>Figure S9. Magnitude of the effect of resource availability on DNA methylation levels in different genomic compartments</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27</w:t>
      </w:r>
    </w:p>
    <w:p w14:paraId="20D211C7" w14:textId="299EF802" w:rsidR="003E5F54" w:rsidRPr="003941CD" w:rsidRDefault="003E5F54" w:rsidP="003E5F54">
      <w:pPr>
        <w:spacing w:line="360" w:lineRule="auto"/>
        <w:rPr>
          <w:rFonts w:ascii="Arial" w:hAnsi="Arial"/>
          <w:color w:val="000000"/>
        </w:rPr>
      </w:pPr>
      <w:r w:rsidRPr="003941CD">
        <w:rPr>
          <w:rFonts w:ascii="Arial" w:hAnsi="Arial"/>
          <w:color w:val="000000"/>
        </w:rPr>
        <w:t>Figure S10. Cell type proportions did not significantly differ between wild-feeding and Lodge</w:t>
      </w:r>
      <w:r>
        <w:rPr>
          <w:rFonts w:ascii="Arial" w:hAnsi="Arial"/>
          <w:color w:val="000000"/>
        </w:rPr>
        <w:tab/>
        <w:t>28</w:t>
      </w:r>
    </w:p>
    <w:p w14:paraId="3600C5F4" w14:textId="0CF092B4" w:rsidR="003E5F54" w:rsidRPr="003941CD" w:rsidRDefault="003E5F54" w:rsidP="003E5F54">
      <w:pPr>
        <w:spacing w:line="360" w:lineRule="auto"/>
        <w:rPr>
          <w:rFonts w:ascii="Arial" w:hAnsi="Arial"/>
          <w:color w:val="000000"/>
        </w:rPr>
      </w:pPr>
      <w:r w:rsidRPr="003941CD">
        <w:rPr>
          <w:rFonts w:ascii="Arial" w:hAnsi="Arial"/>
          <w:color w:val="000000"/>
        </w:rPr>
        <w:t xml:space="preserve">Figure S11. Enrichment of </w:t>
      </w:r>
      <w:r w:rsidR="004B1CDA">
        <w:rPr>
          <w:rFonts w:ascii="Arial" w:hAnsi="Arial"/>
          <w:color w:val="000000"/>
        </w:rPr>
        <w:t>resource base-</w:t>
      </w:r>
      <w:r w:rsidRPr="003941CD">
        <w:rPr>
          <w:rFonts w:ascii="Arial" w:hAnsi="Arial"/>
          <w:color w:val="000000"/>
        </w:rPr>
        <w:t>associated sites is strongest near genes expressed in whole blood, compared to genes expressed in other tissues</w:t>
      </w:r>
      <w:r w:rsidRPr="003941CD">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29</w:t>
      </w:r>
    </w:p>
    <w:p w14:paraId="56B6E021" w14:textId="77777777" w:rsidR="003E5F54" w:rsidRPr="003941CD" w:rsidRDefault="003E5F54" w:rsidP="003E5F54">
      <w:pPr>
        <w:spacing w:line="360" w:lineRule="auto"/>
        <w:rPr>
          <w:rFonts w:ascii="Arial" w:hAnsi="Arial"/>
          <w:color w:val="000000"/>
        </w:rPr>
      </w:pPr>
    </w:p>
    <w:p w14:paraId="40C13E8F" w14:textId="0FE851FB" w:rsidR="003E5F54" w:rsidRPr="003941CD" w:rsidRDefault="003E5F54" w:rsidP="003E5F54">
      <w:pPr>
        <w:spacing w:line="360" w:lineRule="auto"/>
        <w:rPr>
          <w:rFonts w:ascii="Arial" w:hAnsi="Arial"/>
          <w:color w:val="000000"/>
        </w:rPr>
      </w:pPr>
      <w:r w:rsidRPr="003941CD">
        <w:rPr>
          <w:rFonts w:ascii="Arial" w:hAnsi="Arial"/>
          <w:color w:val="000000"/>
        </w:rPr>
        <w:t>Table S1. Information about males that switched between resource base conditions</w:t>
      </w:r>
      <w:r w:rsidRPr="003941CD">
        <w:rPr>
          <w:rFonts w:ascii="Arial" w:hAnsi="Arial"/>
          <w:color w:val="000000"/>
        </w:rPr>
        <w:tab/>
      </w:r>
      <w:r>
        <w:rPr>
          <w:rFonts w:ascii="Arial" w:hAnsi="Arial"/>
          <w:color w:val="000000"/>
        </w:rPr>
        <w:tab/>
      </w:r>
      <w:r w:rsidR="004B1CDA">
        <w:rPr>
          <w:rFonts w:ascii="Arial" w:hAnsi="Arial"/>
          <w:color w:val="000000"/>
        </w:rPr>
        <w:t>30</w:t>
      </w:r>
    </w:p>
    <w:p w14:paraId="5089D55B" w14:textId="209761C1" w:rsidR="003E5F54" w:rsidRPr="003941CD" w:rsidRDefault="003E5F54" w:rsidP="003E5F54">
      <w:pPr>
        <w:spacing w:line="360" w:lineRule="auto"/>
        <w:rPr>
          <w:rFonts w:ascii="Arial" w:hAnsi="Arial"/>
          <w:color w:val="000000"/>
        </w:rPr>
      </w:pPr>
      <w:r w:rsidRPr="003941CD">
        <w:rPr>
          <w:rFonts w:ascii="Arial" w:hAnsi="Arial"/>
          <w:color w:val="000000"/>
        </w:rPr>
        <w:t>Table S2. Baboon RRBS dataset sample characteristics and read m</w:t>
      </w:r>
      <w:r>
        <w:rPr>
          <w:rFonts w:ascii="Arial" w:hAnsi="Arial"/>
          <w:color w:val="000000"/>
        </w:rPr>
        <w:t>apping summary</w:t>
      </w:r>
      <w:r>
        <w:rPr>
          <w:rFonts w:ascii="Arial" w:hAnsi="Arial"/>
          <w:color w:val="000000"/>
        </w:rPr>
        <w:tab/>
      </w:r>
      <w:r w:rsidRPr="003941CD">
        <w:rPr>
          <w:rFonts w:ascii="Arial" w:hAnsi="Arial"/>
          <w:color w:val="000000"/>
        </w:rPr>
        <w:tab/>
      </w:r>
      <w:r w:rsidR="004B1CDA">
        <w:rPr>
          <w:rFonts w:ascii="Arial" w:hAnsi="Arial"/>
          <w:color w:val="000000"/>
        </w:rPr>
        <w:t>31</w:t>
      </w:r>
    </w:p>
    <w:p w14:paraId="52CAE2FE" w14:textId="50B2FAE8" w:rsidR="003E5F54" w:rsidRPr="003941CD" w:rsidRDefault="003E5F54" w:rsidP="003E5F54">
      <w:pPr>
        <w:spacing w:line="360" w:lineRule="auto"/>
        <w:rPr>
          <w:rFonts w:ascii="Arial" w:hAnsi="Arial"/>
          <w:color w:val="000000"/>
        </w:rPr>
      </w:pPr>
      <w:r w:rsidRPr="003941CD">
        <w:rPr>
          <w:rFonts w:ascii="Arial" w:hAnsi="Arial"/>
          <w:color w:val="000000"/>
        </w:rPr>
        <w:t>Table S3. Di</w:t>
      </w:r>
      <w:r>
        <w:rPr>
          <w:rFonts w:ascii="Arial" w:hAnsi="Arial"/>
          <w:color w:val="000000"/>
        </w:rPr>
        <w:t>fferentially methylated regions</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3941CD">
        <w:rPr>
          <w:rFonts w:ascii="Arial" w:hAnsi="Arial"/>
          <w:color w:val="000000"/>
        </w:rPr>
        <w:tab/>
        <w:t>3</w:t>
      </w:r>
      <w:r w:rsidR="004B1CDA">
        <w:rPr>
          <w:rFonts w:ascii="Arial" w:hAnsi="Arial"/>
          <w:color w:val="000000"/>
        </w:rPr>
        <w:t>3</w:t>
      </w:r>
    </w:p>
    <w:p w14:paraId="1A4C2A5A" w14:textId="77777777" w:rsidR="003E5F54" w:rsidRDefault="003E5F54" w:rsidP="003E5F54">
      <w:pPr>
        <w:rPr>
          <w:rFonts w:ascii="Arial" w:hAnsi="Arial" w:cs="Arial"/>
          <w:sz w:val="22"/>
          <w:szCs w:val="22"/>
        </w:rPr>
      </w:pPr>
    </w:p>
    <w:p w14:paraId="767AAA2E" w14:textId="77777777" w:rsidR="003E5F54" w:rsidRPr="00A4379E" w:rsidRDefault="003E5F54" w:rsidP="000F7048">
      <w:pPr>
        <w:spacing w:line="480" w:lineRule="auto"/>
        <w:rPr>
          <w:rFonts w:ascii="Arial" w:hAnsi="Arial" w:cs="Arial"/>
          <w:b/>
          <w:i/>
          <w:sz w:val="22"/>
          <w:szCs w:val="22"/>
        </w:rPr>
      </w:pPr>
    </w:p>
    <w:p w14:paraId="0D7D2E92" w14:textId="77777777" w:rsidR="003E5F54" w:rsidRDefault="003E5F54">
      <w:pPr>
        <w:rPr>
          <w:rFonts w:ascii="Arial" w:eastAsiaTheme="majorEastAsia" w:hAnsi="Arial" w:cs="Arial"/>
          <w:b/>
          <w:bCs/>
          <w:sz w:val="22"/>
          <w:szCs w:val="22"/>
          <w:shd w:val="clear" w:color="auto" w:fill="FFFFFF"/>
        </w:rPr>
      </w:pPr>
      <w:bookmarkStart w:id="0" w:name="_Toc297739048"/>
      <w:bookmarkStart w:id="1" w:name="_Toc306792075"/>
      <w:r>
        <w:rPr>
          <w:shd w:val="clear" w:color="auto" w:fill="FFFFFF"/>
        </w:rPr>
        <w:br w:type="page"/>
      </w:r>
    </w:p>
    <w:p w14:paraId="69FEDBE7" w14:textId="6E56A823" w:rsidR="000F7048" w:rsidRPr="006A778E" w:rsidRDefault="000F7048" w:rsidP="000F7048">
      <w:pPr>
        <w:pStyle w:val="Heading1"/>
        <w:rPr>
          <w:shd w:val="clear" w:color="auto" w:fill="FFFFFF"/>
        </w:rPr>
      </w:pPr>
      <w:bookmarkStart w:id="2" w:name="_Toc306797746"/>
      <w:r>
        <w:rPr>
          <w:shd w:val="clear" w:color="auto" w:fill="FFFFFF"/>
        </w:rPr>
        <w:lastRenderedPageBreak/>
        <w:t>RRBS library construction, sequencing</w:t>
      </w:r>
      <w:bookmarkEnd w:id="0"/>
      <w:r>
        <w:rPr>
          <w:shd w:val="clear" w:color="auto" w:fill="FFFFFF"/>
        </w:rPr>
        <w:t xml:space="preserve">, </w:t>
      </w:r>
      <w:bookmarkStart w:id="3" w:name="_Toc297739049"/>
      <w:r>
        <w:rPr>
          <w:shd w:val="clear" w:color="auto" w:fill="FFFFFF"/>
        </w:rPr>
        <w:t>and data processing</w:t>
      </w:r>
      <w:bookmarkEnd w:id="1"/>
      <w:bookmarkEnd w:id="2"/>
      <w:r>
        <w:rPr>
          <w:shd w:val="clear" w:color="auto" w:fill="FFFFFF"/>
        </w:rPr>
        <w:t xml:space="preserve"> </w:t>
      </w:r>
      <w:bookmarkEnd w:id="3"/>
    </w:p>
    <w:p w14:paraId="71471D02" w14:textId="77777777" w:rsidR="000F7048" w:rsidRPr="004736A5" w:rsidRDefault="000F7048" w:rsidP="000F7048">
      <w:pPr>
        <w:spacing w:line="480" w:lineRule="auto"/>
        <w:ind w:firstLine="720"/>
        <w:rPr>
          <w:rFonts w:ascii="Arial" w:eastAsia="Times New Roman" w:hAnsi="Arial" w:cs="Arial"/>
          <w:sz w:val="22"/>
          <w:szCs w:val="22"/>
        </w:rPr>
      </w:pPr>
      <w:r>
        <w:rPr>
          <w:rFonts w:ascii="Arial" w:eastAsia="Times New Roman" w:hAnsi="Arial" w:cs="Arial"/>
          <w:sz w:val="22"/>
          <w:szCs w:val="22"/>
          <w:shd w:val="clear" w:color="auto" w:fill="FFFFFF"/>
        </w:rPr>
        <w:t>To construct RRBS libraries, we</w:t>
      </w:r>
      <w:r w:rsidRPr="006A778E">
        <w:rPr>
          <w:rFonts w:ascii="Arial" w:eastAsia="Times New Roman" w:hAnsi="Arial" w:cs="Arial"/>
          <w:sz w:val="22"/>
          <w:szCs w:val="22"/>
          <w:shd w:val="clear" w:color="auto" w:fill="FFFFFF"/>
        </w:rPr>
        <w:t xml:space="preserve"> extracted genomic DNA from whole blood samples using the DNeasy Blood and </w:t>
      </w:r>
      <w:r w:rsidRPr="004736A5">
        <w:rPr>
          <w:rFonts w:ascii="Arial" w:eastAsia="Times New Roman" w:hAnsi="Arial" w:cs="Arial"/>
          <w:sz w:val="22"/>
          <w:szCs w:val="22"/>
          <w:shd w:val="clear" w:color="auto" w:fill="FFFFFF"/>
        </w:rPr>
        <w:t xml:space="preserve">Tissue kit (QIAGEN), according to the manufacturer’s instructions. We then used 180 ng of genomic DNA per individual to generate adapter barcoded libraries for each sample. Libraries were pooled together in sets of 9-12 samples, subjected to sodium bisulfite conversion using the EpiTect Bisulfite Conversion kit (QIAGEN), and then PCR amplified prior to sequencing on </w:t>
      </w:r>
      <w:r w:rsidRPr="004736A5">
        <w:rPr>
          <w:rFonts w:ascii="Arial" w:eastAsia="Times New Roman" w:hAnsi="Arial" w:cs="Arial"/>
          <w:sz w:val="22"/>
          <w:szCs w:val="22"/>
        </w:rPr>
        <w:t>the Illumina HiSeq 2000 platform. Each pooled set of libraries was sequenced in a single lane to a mean depth (</w:t>
      </w:r>
      <w:r w:rsidRPr="004736A5">
        <w:rPr>
          <w:rFonts w:ascii="Arial" w:eastAsia="MS Gothic" w:hAnsi="Arial" w:cs="Arial"/>
          <w:color w:val="000000"/>
          <w:sz w:val="22"/>
          <w:szCs w:val="22"/>
        </w:rPr>
        <w:t xml:space="preserve">± SD) </w:t>
      </w:r>
      <w:r w:rsidRPr="004736A5">
        <w:rPr>
          <w:rFonts w:ascii="Arial" w:eastAsia="Times New Roman" w:hAnsi="Arial" w:cs="Arial"/>
          <w:sz w:val="22"/>
          <w:szCs w:val="22"/>
        </w:rPr>
        <w:t xml:space="preserve">of 27.25 </w:t>
      </w:r>
      <w:r w:rsidRPr="004736A5">
        <w:rPr>
          <w:rFonts w:ascii="Arial" w:eastAsia="MS Gothic" w:hAnsi="Arial" w:cs="Arial"/>
          <w:color w:val="000000"/>
          <w:sz w:val="22"/>
          <w:szCs w:val="22"/>
        </w:rPr>
        <w:t xml:space="preserve">± 13.62 </w:t>
      </w:r>
      <w:r w:rsidRPr="004736A5">
        <w:rPr>
          <w:rFonts w:ascii="Arial" w:eastAsia="Times New Roman" w:hAnsi="Arial" w:cs="Arial"/>
          <w:sz w:val="22"/>
          <w:szCs w:val="22"/>
        </w:rPr>
        <w:t xml:space="preserve">million reads per sample (173.85 </w:t>
      </w:r>
      <w:r w:rsidRPr="004736A5">
        <w:rPr>
          <w:rFonts w:ascii="Arial" w:eastAsia="MS Gothic" w:hAnsi="Arial" w:cs="Arial"/>
          <w:color w:val="000000"/>
          <w:sz w:val="22"/>
          <w:szCs w:val="22"/>
        </w:rPr>
        <w:t xml:space="preserve">± 12.87 </w:t>
      </w:r>
      <w:r w:rsidRPr="004736A5">
        <w:rPr>
          <w:rFonts w:ascii="Arial" w:eastAsia="Times New Roman" w:hAnsi="Arial" w:cs="Arial"/>
          <w:sz w:val="22"/>
          <w:szCs w:val="22"/>
        </w:rPr>
        <w:t>million reads per lane; Table S</w:t>
      </w:r>
      <w:r>
        <w:rPr>
          <w:rFonts w:ascii="Arial" w:eastAsia="Times New Roman" w:hAnsi="Arial" w:cs="Arial"/>
          <w:sz w:val="22"/>
          <w:szCs w:val="22"/>
        </w:rPr>
        <w:t>2</w:t>
      </w:r>
      <w:r w:rsidRPr="004736A5">
        <w:rPr>
          <w:rFonts w:ascii="Arial" w:eastAsia="Times New Roman" w:hAnsi="Arial" w:cs="Arial"/>
          <w:sz w:val="22"/>
          <w:szCs w:val="22"/>
        </w:rPr>
        <w:t xml:space="preserve">). </w:t>
      </w:r>
      <w:r w:rsidRPr="004736A5">
        <w:rPr>
          <w:rFonts w:ascii="Arial" w:eastAsia="Times New Roman" w:hAnsi="Arial" w:cs="Arial"/>
          <w:sz w:val="22"/>
          <w:szCs w:val="22"/>
          <w:shd w:val="clear" w:color="auto" w:fill="FFFFFF"/>
        </w:rPr>
        <w:t xml:space="preserve">To assess the efficiency of the bisulfite conversion, </w:t>
      </w:r>
      <w:r w:rsidRPr="004736A5">
        <w:rPr>
          <w:rFonts w:ascii="Arial" w:eastAsia="Times New Roman" w:hAnsi="Arial" w:cs="Arial"/>
          <w:sz w:val="22"/>
          <w:szCs w:val="22"/>
        </w:rPr>
        <w:t xml:space="preserve">1 ng of unmethylated lambda phage DNA (Sigma Aldrich) was added to each 180 ng sample prior to library construction. </w:t>
      </w:r>
    </w:p>
    <w:p w14:paraId="5030CBBD" w14:textId="77777777" w:rsidR="000F7048" w:rsidRPr="004736A5" w:rsidRDefault="000F7048" w:rsidP="000F7048">
      <w:pPr>
        <w:spacing w:line="480" w:lineRule="auto"/>
        <w:ind w:firstLine="720"/>
        <w:rPr>
          <w:rFonts w:ascii="Arial" w:hAnsi="Arial" w:cs="Arial"/>
          <w:sz w:val="22"/>
          <w:szCs w:val="22"/>
        </w:rPr>
      </w:pPr>
      <w:r w:rsidRPr="004736A5">
        <w:rPr>
          <w:rFonts w:ascii="Arial" w:eastAsia="Times New Roman" w:hAnsi="Arial" w:cs="Arial"/>
          <w:sz w:val="22"/>
          <w:szCs w:val="22"/>
          <w:shd w:val="clear" w:color="auto" w:fill="FFFFFF"/>
        </w:rPr>
        <w:t>Following read trimming for adaptor contamination and base quality, we mapped all reads to a combined reference genome that included the olive baboon genome (</w:t>
      </w:r>
      <w:r w:rsidRPr="004736A5">
        <w:rPr>
          <w:rFonts w:ascii="Arial" w:eastAsia="Times New Roman" w:hAnsi="Arial" w:cs="Arial"/>
          <w:i/>
          <w:sz w:val="22"/>
          <w:szCs w:val="22"/>
          <w:shd w:val="clear" w:color="auto" w:fill="FFFFFF"/>
        </w:rPr>
        <w:t>Panu 2.0</w:t>
      </w:r>
      <w:r w:rsidRPr="004736A5">
        <w:rPr>
          <w:rFonts w:ascii="Arial" w:eastAsia="Times New Roman" w:hAnsi="Arial" w:cs="Arial"/>
          <w:sz w:val="22"/>
          <w:szCs w:val="22"/>
          <w:shd w:val="clear" w:color="auto" w:fill="FFFFFF"/>
        </w:rPr>
        <w:t>) and the lambda phage genome</w:t>
      </w:r>
      <w:r w:rsidRPr="004736A5">
        <w:rPr>
          <w:rFonts w:ascii="Arial" w:hAnsi="Arial" w:cs="Arial"/>
          <w:sz w:val="22"/>
          <w:szCs w:val="22"/>
        </w:rPr>
        <w:t>. We used sequence</w:t>
      </w:r>
      <w:r>
        <w:rPr>
          <w:rFonts w:ascii="Arial" w:hAnsi="Arial" w:cs="Arial"/>
          <w:sz w:val="22"/>
          <w:szCs w:val="22"/>
        </w:rPr>
        <w:t>s</w:t>
      </w:r>
      <w:r w:rsidRPr="004736A5">
        <w:rPr>
          <w:rFonts w:ascii="Arial" w:hAnsi="Arial" w:cs="Arial"/>
          <w:sz w:val="22"/>
          <w:szCs w:val="22"/>
        </w:rPr>
        <w:t xml:space="preserve"> that mapped to the lambda phage genome to estimate the bisulfite conversion efficiency for each DNA sample. Specifically, for each sample, we summed (i) the number of reads that mapped to lambda phage CpG sites and were read as thymine (reflecting an unmethylated cytosine that was converted to thymine by sodium bisulfite); and (ii) the total number of reads that mapped to any lambda phage CpG site. Because all CpG sites in the lambda phage genome were originally unmethylated (and thus should have been converted to thymine), the ratio of these two sums provides an estimate of bisulfite conversion efficiency. Here, a ratio of 1 would represent perfect conversion of every unmethylated cytosine to thymine.</w:t>
      </w:r>
      <w:bookmarkStart w:id="4" w:name="_Toc297739050"/>
    </w:p>
    <w:p w14:paraId="7B04EECB" w14:textId="77777777" w:rsidR="000F7048" w:rsidRDefault="000F7048" w:rsidP="000F7048">
      <w:pPr>
        <w:spacing w:line="480" w:lineRule="auto"/>
        <w:ind w:firstLine="720"/>
        <w:rPr>
          <w:rFonts w:ascii="Arial" w:hAnsi="Arial" w:cs="Arial"/>
          <w:bCs/>
          <w:color w:val="000000"/>
          <w:sz w:val="22"/>
          <w:szCs w:val="22"/>
        </w:rPr>
      </w:pPr>
      <w:r w:rsidRPr="004736A5">
        <w:rPr>
          <w:rFonts w:ascii="Arial" w:hAnsi="Arial" w:cs="Arial"/>
          <w:sz w:val="22"/>
          <w:szCs w:val="22"/>
        </w:rPr>
        <w:t xml:space="preserve">For data generated from baboon DNA, we performed several additional filtering steps before performing differential methylation analyses. First, following previous studies </w:t>
      </w:r>
      <w:r w:rsidRPr="004736A5">
        <w:rPr>
          <w:rFonts w:ascii="Arial" w:hAnsi="Arial" w:cs="Arial"/>
          <w:sz w:val="22"/>
          <w:szCs w:val="22"/>
        </w:rPr>
        <w:fldChar w:fldCharType="begin" w:fldLock="1"/>
      </w:r>
      <w:r w:rsidR="00F43643">
        <w:rPr>
          <w:rFonts w:ascii="Arial" w:hAnsi="Arial" w:cs="Arial"/>
          <w:sz w:val="22"/>
          <w:szCs w:val="22"/>
        </w:rPr>
        <w:instrText>ADDIN CSL_CITATION { "citationItems" : [ { "id" : "ITEM-1", "itemData" : { "DOI" : "10.1038/nmeth.2815", "ISSN" : "1548-7105", "PMID" : "24464286", "abstract" : "In epigenome-wide association studies, cell-type composition often differs between cases and controls, yielding associations that simply tag cell type rather than reveal fundamental biology. Current solutions require actual or estimated cell-type composition--information not easily obtainable for many samples of interest. We propose a method, FaST-LMM-EWASher, that automatically corrects for cell-type composition without the need for explicit knowledge of it, and then validate our method by comparison with the state-of-the-art approach. Corresponding software is available from http://www.microsoft.com/science/.", "author" : [ { "dropping-particle" : "", "family" : "Zou", "given" : "James", "non-dropping-particle" : "", "parse-names" : false, "suffix" : "" }, { "dropping-particle" : "", "family" : "Lippert", "given" : "Christoph", "non-dropping-particle" : "", "parse-names" : false, "suffix" : "" }, { "dropping-particle" : "", "family" : "Heckerman", "given" : "David", "non-dropping-particle" : "", "parse-names" : false, "suffix" : "" }, { "dropping-particle" : "", "family" : "Aryee", "given" : "Martin", "non-dropping-particle" : "", "parse-names" : false, "suffix" : "" }, { "dropping-particle" : "", "family" : "Listgarten", "given" : "Jennifer", "non-dropping-particle" : "", "parse-names" : false, "suffix" : "" } ], "container-title" : "Nature methods", "id" : "ITEM-1", "issue" : "3", "issued" : { "date-parts" : [ [ "2014", "3" ] ] }, "page" : "309-11", "title" : "Epigenome-wide association studies without the need for cell-type composition.", "type" : "article-journal", "volume" : "11" }, "uris" : [ "http://www.mendeley.com/documents/?uuid=a9c73d63-680b-4ecb-a551-5106f43456a3" ] }, { "id" : "ITEM-2", "itemData" : { "DOI" : "10.1073/pnas.1121249109", "ISSN" : "1091-6490", "PMID" : "23045638", "abstract" : "Epigenetics is emerging as an attractive mechanism to explain the persistent genomic embedding of early-life experiences. Tightly linked to chromatin, which packages DNA into chromosomes, epigenetic marks primarily serve to regulate the activity of genes. DNA methylation is the most accessible and characterized component of the many chromatin marks that constitute the epigenome, making it an ideal target for epigenetic studies in human populations. Here, using peripheral blood mononuclear cells collected from a community-based cohort stratified for early-life socioeconomic status, we measured DNA methylation in the promoter regions of more than 14,000 human genes. Using this approach, we broadly assessed and characterized epigenetic variation, identified some of the factors that sculpt the epigenome, and determined its functional relation to gene expression. We found that the leukocyte composition of peripheral blood covaried with patterns of DNA methylation at many sites, as did demographic factors, such as sex, age, and ethnicity. Furthermore, psychosocial factors, such as perceived stress, and cortisol output were associated with DNA methylation, as was early-life socioeconomic status. Interestingly, we determined that DNA methylation was strongly correlated to the ex vivo inflammatory response of peripheral blood mononuclear cells to stimulation with microbial products that engage Toll-like receptors. In contrast, our work found limited effects of DNA methylation marks on the expression of associated genes across individuals, suggesting a more complex relationship than anticipated.", "author" : [ { "dropping-particle" : "", "family" : "Lam", "given" : "Lucia L", "non-dropping-particle" : "", "parse-names" : false, "suffix" : "" }, { "dropping-particle" : "", "family" : "Emberly", "given" : "Eldon", "non-dropping-particle" : "", "parse-names" : false, "suffix" : "" }, { "dropping-particle" : "", "family" : "Fraser", "given" : "Hunter B", "non-dropping-particle" : "", "parse-names" : false, "suffix" : "" }, { "dropping-particle" : "", "family" : "Neumann", "given" : "Sarah M", "non-dropping-particle" : "", "parse-names" : false, "suffix" : "" }, { "dropping-particle" : "", "family" : "Chen", "given" : "Edith", "non-dropping-particle" : "", "parse-names" : false, "suffix" : "" }, { "dropping-particle" : "", "family" : "Miller", "given" : "Gregory E", "non-dropping-particle" : "", "parse-names" : false, "suffix" : "" }, { "dropping-particle" : "", "family" : "Kobor", "given" : "Michael S", "non-dropping-particle" : "", "parse-names" : false, "suffix" : "" } ], "container-title" : "Proceedings of the National Academy of Sciences of the United States of America", "id" : "ITEM-2", "issued" : { "date-parts" : [ [ "2012", "10", "16" ] ] }, "page" : "17253-60", "title" : "Factors underlying variable DNA methylation in a human community cohort.", "type" : "article-journal", "volume" : "109" }, "uris" : [ "http://www.mendeley.com/documents/?uuid=bee4fc6f-a404-47f5-8da5-b6ddad048600" ] } ], "mendeley" : { "formattedCitation" : "[1,2]", "plainTextFormattedCitation" : "[1,2]", "previouslyFormattedCitation" : "[1,2]" }, "properties" : { "noteIndex" : 0 }, "schema" : "https://github.com/citation-style-language/schema/raw/master/csl-citation.json" }</w:instrText>
      </w:r>
      <w:r w:rsidRPr="004736A5">
        <w:rPr>
          <w:rFonts w:ascii="Arial" w:hAnsi="Arial" w:cs="Arial"/>
          <w:sz w:val="22"/>
          <w:szCs w:val="22"/>
        </w:rPr>
        <w:fldChar w:fldCharType="separate"/>
      </w:r>
      <w:r w:rsidR="00F43643" w:rsidRPr="00F43643">
        <w:rPr>
          <w:rFonts w:ascii="Arial" w:hAnsi="Arial" w:cs="Arial"/>
          <w:noProof/>
          <w:sz w:val="22"/>
          <w:szCs w:val="22"/>
        </w:rPr>
        <w:t>[1,2]</w:t>
      </w:r>
      <w:r w:rsidRPr="004736A5">
        <w:rPr>
          <w:rFonts w:ascii="Arial" w:hAnsi="Arial" w:cs="Arial"/>
          <w:sz w:val="22"/>
          <w:szCs w:val="22"/>
        </w:rPr>
        <w:fldChar w:fldCharType="end"/>
      </w:r>
      <w:r w:rsidRPr="004736A5">
        <w:rPr>
          <w:rFonts w:ascii="Arial" w:hAnsi="Arial" w:cs="Arial"/>
          <w:sz w:val="22"/>
          <w:szCs w:val="22"/>
        </w:rPr>
        <w:t xml:space="preserve">, we excluded sites that were constitutively hypermethylated (average DNA methylation level &gt; 0.90) or hypomethylated (average DNA methylation level &lt; 0.10). We also excluded sites in which the </w:t>
      </w:r>
      <w:r w:rsidRPr="004736A5">
        <w:rPr>
          <w:rFonts w:ascii="Arial" w:hAnsi="Arial" w:cs="Arial"/>
          <w:sz w:val="22"/>
          <w:szCs w:val="22"/>
        </w:rPr>
        <w:lastRenderedPageBreak/>
        <w:t xml:space="preserve">standard deviation of DNA methylation levels fell in the lowest 5% of the overall data set, and sites that fell in the lowest quartile of mean coverage depth (4.74 reads). The final filtered data set contained 535,996 </w:t>
      </w:r>
      <w:r w:rsidRPr="004736A5">
        <w:rPr>
          <w:rFonts w:ascii="Arial" w:hAnsi="Arial" w:cs="Arial"/>
          <w:bCs/>
          <w:color w:val="000000"/>
          <w:sz w:val="22"/>
          <w:szCs w:val="22"/>
        </w:rPr>
        <w:t>CpG sites.</w:t>
      </w:r>
      <w:bookmarkEnd w:id="4"/>
      <w:r w:rsidRPr="004736A5">
        <w:rPr>
          <w:rFonts w:ascii="Arial" w:hAnsi="Arial" w:cs="Arial"/>
          <w:bCs/>
          <w:color w:val="000000"/>
          <w:sz w:val="22"/>
          <w:szCs w:val="22"/>
        </w:rPr>
        <w:t xml:space="preserve"> </w:t>
      </w:r>
    </w:p>
    <w:p w14:paraId="0749D97C" w14:textId="77777777" w:rsidR="000F7048" w:rsidRPr="00FA247C" w:rsidRDefault="000F7048" w:rsidP="000F7048">
      <w:pPr>
        <w:spacing w:line="480" w:lineRule="auto"/>
        <w:ind w:firstLine="720"/>
        <w:rPr>
          <w:rFonts w:ascii="Arial" w:eastAsia="Times New Roman" w:hAnsi="Arial" w:cs="Arial"/>
          <w:color w:val="222222"/>
          <w:sz w:val="22"/>
          <w:szCs w:val="22"/>
        </w:rPr>
      </w:pPr>
      <w:r>
        <w:rPr>
          <w:rFonts w:ascii="Arial" w:eastAsia="Times New Roman" w:hAnsi="Arial" w:cs="Arial"/>
          <w:color w:val="222222"/>
          <w:sz w:val="22"/>
          <w:szCs w:val="22"/>
        </w:rPr>
        <w:t>Importantly, although we mapped reads generated from yellow baboons to the olive baboon genome, biases associated with mapping to a heterospecific genome should be minimal in the filtered dataset. The primary source of potential bias comes from C/T SNPs, and specifically cases in which the olive baboon reference genome contains a CG site, but yellow baboons carry TG at the same location in the genome. In these cases, BSMAP would erroneously estimate the CpG site in our yellow baboon samples as completely unmethylated. However, because we filtered out all sites with average methylation levels below 10%, sites affected by this type of error should not be included in our final filtered dataset.</w:t>
      </w:r>
    </w:p>
    <w:p w14:paraId="372927B7" w14:textId="77777777" w:rsidR="000F7048" w:rsidRPr="004736A5" w:rsidRDefault="000F7048" w:rsidP="000F7048">
      <w:pPr>
        <w:pStyle w:val="Heading1"/>
        <w:rPr>
          <w:bCs w:val="0"/>
        </w:rPr>
      </w:pPr>
      <w:bookmarkStart w:id="5" w:name="_Toc297739051"/>
      <w:bookmarkStart w:id="6" w:name="_Toc306792076"/>
      <w:bookmarkStart w:id="7" w:name="_Toc306797747"/>
      <w:r w:rsidRPr="004736A5">
        <w:t>Testing for effects of resource base on DNA methylation levels</w:t>
      </w:r>
      <w:bookmarkEnd w:id="5"/>
      <w:bookmarkEnd w:id="6"/>
      <w:bookmarkEnd w:id="7"/>
    </w:p>
    <w:p w14:paraId="40E55DC3" w14:textId="77777777" w:rsidR="000F7048" w:rsidRPr="004736A5" w:rsidRDefault="000F7048" w:rsidP="000F7048">
      <w:pPr>
        <w:spacing w:line="480" w:lineRule="auto"/>
        <w:ind w:firstLine="720"/>
        <w:rPr>
          <w:rFonts w:ascii="Arial" w:hAnsi="Arial" w:cs="Arial"/>
          <w:bCs/>
          <w:sz w:val="22"/>
          <w:szCs w:val="22"/>
        </w:rPr>
      </w:pPr>
      <w:r w:rsidRPr="004736A5">
        <w:rPr>
          <w:rFonts w:ascii="Arial" w:hAnsi="Arial" w:cs="Arial"/>
          <w:bCs/>
          <w:sz w:val="22"/>
          <w:szCs w:val="22"/>
        </w:rPr>
        <w:t xml:space="preserve">We used the software MACAU </w:t>
      </w:r>
      <w:r w:rsidR="00F43643">
        <w:rPr>
          <w:rFonts w:ascii="Arial" w:hAnsi="Arial" w:cs="Arial"/>
          <w:bCs/>
          <w:sz w:val="22"/>
          <w:szCs w:val="22"/>
        </w:rPr>
        <w:fldChar w:fldCharType="begin" w:fldLock="1"/>
      </w:r>
      <w:r w:rsidR="00F43643">
        <w:rPr>
          <w:rFonts w:ascii="Arial" w:hAnsi="Arial" w:cs="Arial"/>
          <w:bCs/>
          <w:sz w:val="22"/>
          <w:szCs w:val="22"/>
        </w:rPr>
        <w:instrText>ADDIN CSL_CITATION { "citationItems" : [ { "id" : "ITEM-1", "itemData" : { "DOI" : "http://dx.doi.org/10.1101/019562", "author" : [ { "dropping-particle" : "", "family" : "Lea", "given" : "Amanda", "non-dropping-particle" : "", "parse-names" : false, "suffix" : "" }, { "dropping-particle" : "", "family" : "Tung", "given" : "Jenny", "non-dropping-particle" : "", "parse-names" : false, "suffix" : "" }, { "dropping-particle" : "", "family" : "Zhou", "given" : "Xiang", "non-dropping-particle" : "", "parse-names" : false, "suffix" : "" } ], "container-title" : "bioRxiv", "id" : "ITEM-1", "issued" : { "date-parts" : [ [ "2015" ] ] }, "title" : "A flexible, efficient binomial mixed model for identifying differential DNA methylation in bisulfite sequencing data", "type" : "article-journal" }, "uris" : [ "http://www.mendeley.com/documents/?uuid=201154c3-0d49-4ab4-a132-ca79689b81e6" ] } ], "mendeley" : { "formattedCitation" : "[3]", "plainTextFormattedCitation" : "[3]", "previouslyFormattedCitation" : "[3]" }, "properties" : { "noteIndex" : 0 }, "schema" : "https://github.com/citation-style-language/schema/raw/master/csl-citation.json" }</w:instrText>
      </w:r>
      <w:r w:rsidR="00F43643">
        <w:rPr>
          <w:rFonts w:ascii="Arial" w:hAnsi="Arial" w:cs="Arial"/>
          <w:bCs/>
          <w:sz w:val="22"/>
          <w:szCs w:val="22"/>
        </w:rPr>
        <w:fldChar w:fldCharType="separate"/>
      </w:r>
      <w:r w:rsidR="00F43643" w:rsidRPr="00F43643">
        <w:rPr>
          <w:rFonts w:ascii="Arial" w:hAnsi="Arial" w:cs="Arial"/>
          <w:bCs/>
          <w:noProof/>
          <w:sz w:val="22"/>
          <w:szCs w:val="22"/>
        </w:rPr>
        <w:t>[3]</w:t>
      </w:r>
      <w:r w:rsidR="00F43643">
        <w:rPr>
          <w:rFonts w:ascii="Arial" w:hAnsi="Arial" w:cs="Arial"/>
          <w:bCs/>
          <w:sz w:val="22"/>
          <w:szCs w:val="22"/>
        </w:rPr>
        <w:fldChar w:fldCharType="end"/>
      </w:r>
      <w:r w:rsidR="00F43643">
        <w:rPr>
          <w:rFonts w:ascii="Arial" w:hAnsi="Arial" w:cs="Arial"/>
          <w:bCs/>
          <w:sz w:val="22"/>
          <w:szCs w:val="22"/>
        </w:rPr>
        <w:t xml:space="preserve"> </w:t>
      </w:r>
      <w:r w:rsidRPr="004736A5">
        <w:rPr>
          <w:rFonts w:ascii="Arial" w:hAnsi="Arial" w:cs="Arial"/>
          <w:bCs/>
          <w:sz w:val="22"/>
          <w:szCs w:val="22"/>
        </w:rPr>
        <w:t>to test for differences in DNA methylation levels between wild-feeding and Lodge individuals at each CpG site in our filtered dataset. Specifically, we fit a binomial mixed effects model for each CpG site across all individuals (</w:t>
      </w:r>
      <w:r w:rsidRPr="004736A5">
        <w:rPr>
          <w:rFonts w:ascii="Arial" w:hAnsi="Arial" w:cs="Arial"/>
          <w:bCs/>
          <w:i/>
          <w:sz w:val="22"/>
          <w:szCs w:val="22"/>
        </w:rPr>
        <w:t>i</w:t>
      </w:r>
      <w:r w:rsidRPr="004736A5">
        <w:rPr>
          <w:rFonts w:ascii="Arial" w:hAnsi="Arial" w:cs="Arial"/>
          <w:bCs/>
          <w:sz w:val="22"/>
          <w:szCs w:val="22"/>
        </w:rPr>
        <w:t>):</w:t>
      </w:r>
    </w:p>
    <w:p w14:paraId="3A4AEA37" w14:textId="77777777" w:rsidR="000F7048" w:rsidRPr="004736A5" w:rsidRDefault="004B1CDA" w:rsidP="000F7048">
      <w:pPr>
        <w:spacing w:line="480" w:lineRule="auto"/>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=Bin</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i</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π</m:t>
                  </m:r>
                </m:e>
                <m:sub>
                  <m:r>
                    <w:rPr>
                      <w:rFonts w:ascii="Cambria Math" w:hAnsi="Cambria Math" w:cs="Arial"/>
                      <w:sz w:val="22"/>
                      <w:szCs w:val="22"/>
                    </w:rPr>
                    <m:t>i</m:t>
                  </m:r>
                </m:sub>
              </m:sSub>
            </m:e>
          </m:d>
        </m:oMath>
      </m:oMathPara>
    </w:p>
    <w:p w14:paraId="67081ACB" w14:textId="77777777" w:rsidR="000F7048" w:rsidRPr="004736A5" w:rsidRDefault="000F7048" w:rsidP="000F7048">
      <w:pPr>
        <w:spacing w:line="480" w:lineRule="auto"/>
        <w:rPr>
          <w:rFonts w:ascii="Arial" w:hAnsi="Arial" w:cs="Arial"/>
          <w:sz w:val="22"/>
          <w:szCs w:val="22"/>
        </w:rPr>
      </w:pPr>
      <w:r w:rsidRPr="004736A5">
        <w:rPr>
          <w:rFonts w:ascii="Arial" w:hAnsi="Arial" w:cs="Arial"/>
          <w:sz w:val="22"/>
          <w:szCs w:val="22"/>
        </w:rPr>
        <w:t xml:space="preserve">where </w:t>
      </w:r>
      <m:oMath>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i</m:t>
            </m:r>
          </m:sub>
        </m:sSub>
      </m:oMath>
      <w:r w:rsidRPr="004736A5">
        <w:rPr>
          <w:rFonts w:ascii="Arial" w:hAnsi="Arial" w:cs="Arial"/>
          <w:b/>
          <w:sz w:val="22"/>
          <w:szCs w:val="22"/>
        </w:rPr>
        <w:t xml:space="preserve"> </w:t>
      </w:r>
      <w:r w:rsidRPr="004736A5">
        <w:rPr>
          <w:rFonts w:ascii="Arial" w:hAnsi="Arial" w:cs="Arial"/>
          <w:sz w:val="22"/>
          <w:szCs w:val="22"/>
        </w:rPr>
        <w:t xml:space="preserve">is the total read count for the </w:t>
      </w:r>
      <w:r w:rsidRPr="004736A5">
        <w:rPr>
          <w:rFonts w:ascii="Arial" w:hAnsi="Arial" w:cs="Arial"/>
          <w:i/>
          <w:sz w:val="22"/>
          <w:szCs w:val="22"/>
        </w:rPr>
        <w:t>i</w:t>
      </w:r>
      <w:r w:rsidRPr="004736A5">
        <w:rPr>
          <w:rFonts w:ascii="Arial" w:hAnsi="Arial" w:cs="Arial"/>
          <w:sz w:val="22"/>
          <w:szCs w:val="22"/>
        </w:rPr>
        <w:t xml:space="preserve">th individual; </w:t>
      </w:r>
      <m:oMath>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oMath>
      <w:r w:rsidRPr="004736A5">
        <w:rPr>
          <w:rFonts w:ascii="Arial" w:hAnsi="Arial" w:cs="Arial"/>
          <w:sz w:val="22"/>
          <w:szCs w:val="22"/>
        </w:rPr>
        <w:t xml:space="preserve"> is the methylated read count for that individual; and </w:t>
      </w:r>
      <m:oMath>
        <m:sSub>
          <m:sSubPr>
            <m:ctrlPr>
              <w:rPr>
                <w:rFonts w:ascii="Cambria Math" w:hAnsi="Cambria Math" w:cs="Arial"/>
                <w:i/>
                <w:sz w:val="22"/>
                <w:szCs w:val="22"/>
              </w:rPr>
            </m:ctrlPr>
          </m:sSubPr>
          <m:e>
            <m:r>
              <w:rPr>
                <w:rFonts w:ascii="Cambria Math" w:hAnsi="Cambria Math" w:cs="Arial"/>
                <w:sz w:val="22"/>
                <w:szCs w:val="22"/>
              </w:rPr>
              <m:t>π</m:t>
            </m:r>
          </m:e>
          <m:sub>
            <m:r>
              <w:rPr>
                <w:rFonts w:ascii="Cambria Math" w:hAnsi="Cambria Math" w:cs="Arial"/>
                <w:sz w:val="22"/>
                <w:szCs w:val="22"/>
              </w:rPr>
              <m:t>i</m:t>
            </m:r>
          </m:sub>
        </m:sSub>
      </m:oMath>
      <w:r w:rsidRPr="004736A5">
        <w:rPr>
          <w:rFonts w:ascii="Arial" w:hAnsi="Arial" w:cs="Arial"/>
          <w:sz w:val="22"/>
          <w:szCs w:val="22"/>
        </w:rPr>
        <w:t xml:space="preserve"> is an unknown parameter that represents the true proportion of methylated reads for individual </w:t>
      </w:r>
      <w:r w:rsidRPr="004736A5">
        <w:rPr>
          <w:rFonts w:ascii="Arial" w:hAnsi="Arial" w:cs="Arial"/>
          <w:i/>
          <w:sz w:val="22"/>
          <w:szCs w:val="22"/>
        </w:rPr>
        <w:t>i</w:t>
      </w:r>
      <w:r w:rsidRPr="004736A5">
        <w:rPr>
          <w:rFonts w:ascii="Arial" w:hAnsi="Arial" w:cs="Arial"/>
          <w:sz w:val="22"/>
          <w:szCs w:val="22"/>
        </w:rPr>
        <w:t xml:space="preserve">. MACAU then uses a logit link to model </w:t>
      </w:r>
      <m:oMath>
        <m:sSub>
          <m:sSubPr>
            <m:ctrlPr>
              <w:rPr>
                <w:rFonts w:ascii="Cambria Math" w:hAnsi="Cambria Math" w:cs="Arial"/>
                <w:i/>
                <w:sz w:val="22"/>
                <w:szCs w:val="22"/>
              </w:rPr>
            </m:ctrlPr>
          </m:sSubPr>
          <m:e>
            <m:r>
              <w:rPr>
                <w:rFonts w:ascii="Cambria Math" w:hAnsi="Cambria Math" w:cs="Arial"/>
                <w:sz w:val="22"/>
                <w:szCs w:val="22"/>
              </w:rPr>
              <m:t>π</m:t>
            </m:r>
          </m:e>
          <m:sub>
            <m:r>
              <w:rPr>
                <w:rFonts w:ascii="Cambria Math" w:hAnsi="Cambria Math" w:cs="Arial"/>
                <w:sz w:val="22"/>
                <w:szCs w:val="22"/>
              </w:rPr>
              <m:t>i</m:t>
            </m:r>
          </m:sub>
        </m:sSub>
      </m:oMath>
      <w:r w:rsidRPr="004736A5">
        <w:rPr>
          <w:rFonts w:ascii="Arial" w:hAnsi="Arial" w:cs="Arial"/>
          <w:b/>
          <w:sz w:val="22"/>
          <w:szCs w:val="22"/>
        </w:rPr>
        <w:t xml:space="preserve"> </w:t>
      </w:r>
      <w:r w:rsidRPr="004736A5">
        <w:rPr>
          <w:rFonts w:ascii="Arial" w:hAnsi="Arial" w:cs="Arial"/>
          <w:sz w:val="22"/>
          <w:szCs w:val="22"/>
        </w:rPr>
        <w:t>as a linear function of several parameters:</w:t>
      </w:r>
    </w:p>
    <w:p w14:paraId="3CF8BD48" w14:textId="77777777" w:rsidR="000F7048" w:rsidRPr="004736A5" w:rsidRDefault="000F7048" w:rsidP="000F7048">
      <w:pPr>
        <w:spacing w:line="480" w:lineRule="auto"/>
        <w:rPr>
          <w:rFonts w:ascii="Arial" w:hAnsi="Arial" w:cs="Arial"/>
          <w:sz w:val="22"/>
          <w:szCs w:val="22"/>
        </w:rPr>
      </w:pPr>
      <m:oMathPara>
        <m:oMath>
          <m:r>
            <w:rPr>
              <w:rFonts w:ascii="Cambria Math" w:hAnsi="Cambria Math" w:cs="Arial"/>
              <w:sz w:val="22"/>
              <w:szCs w:val="22"/>
            </w:rPr>
            <m:t>log</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π</m:t>
                      </m:r>
                    </m:e>
                    <m:sub>
                      <m:r>
                        <w:rPr>
                          <w:rFonts w:ascii="Cambria Math" w:hAnsi="Cambria Math" w:cs="Arial"/>
                          <w:sz w:val="22"/>
                          <w:szCs w:val="22"/>
                        </w:rPr>
                        <m:t>i</m:t>
                      </m:r>
                    </m:sub>
                  </m:sSub>
                </m:num>
                <m:den>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π</m:t>
                      </m:r>
                    </m:e>
                    <m:sub>
                      <m:r>
                        <w:rPr>
                          <w:rFonts w:ascii="Cambria Math" w:hAnsi="Cambria Math" w:cs="Arial"/>
                          <w:sz w:val="22"/>
                          <w:szCs w:val="22"/>
                        </w:rPr>
                        <m:t>i</m:t>
                      </m:r>
                    </m:sub>
                  </m:sSub>
                </m:den>
              </m:f>
            </m:e>
          </m:d>
          <m:r>
            <w:rPr>
              <w:rFonts w:ascii="Cambria Math" w:hAnsi="Cambria Math" w:cs="Arial"/>
              <w:sz w:val="22"/>
              <w:szCs w:val="22"/>
            </w:rPr>
            <m:t>=</m:t>
          </m:r>
          <m:sSubSup>
            <m:sSubSupPr>
              <m:ctrlPr>
                <w:rPr>
                  <w:rFonts w:ascii="Cambria Math" w:hAnsi="Cambria Math" w:cs="Arial"/>
                  <w:i/>
                  <w:sz w:val="22"/>
                  <w:szCs w:val="22"/>
                </w:rPr>
              </m:ctrlPr>
            </m:sSubSupPr>
            <m:e>
              <m:r>
                <m:rPr>
                  <m:sty m:val="bi"/>
                </m:rPr>
                <w:rPr>
                  <w:rFonts w:ascii="Cambria Math" w:hAnsi="Cambria Math" w:cs="Arial"/>
                  <w:sz w:val="22"/>
                  <w:szCs w:val="22"/>
                </w:rPr>
                <m:t>w</m:t>
              </m:r>
            </m:e>
            <m:sub>
              <m:r>
                <w:rPr>
                  <w:rFonts w:ascii="Cambria Math" w:hAnsi="Cambria Math" w:cs="Arial"/>
                  <w:sz w:val="22"/>
                  <w:szCs w:val="22"/>
                </w:rPr>
                <m:t>i</m:t>
              </m:r>
            </m:sub>
            <m:sup>
              <m:r>
                <w:rPr>
                  <w:rFonts w:ascii="Cambria Math" w:hAnsi="Cambria Math" w:cs="Arial"/>
                  <w:sz w:val="22"/>
                  <w:szCs w:val="22"/>
                </w:rPr>
                <m:t>T</m:t>
              </m:r>
            </m:sup>
          </m:sSubSup>
          <m:r>
            <m:rPr>
              <m:sty m:val="bi"/>
            </m:rPr>
            <w:rPr>
              <w:rFonts w:ascii="Cambria Math" w:hAnsi="Cambria Math" w:cs="Arial"/>
              <w:sz w:val="22"/>
              <w:szCs w:val="22"/>
            </w:rPr>
            <m:t>α</m:t>
          </m:r>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i</m:t>
              </m:r>
            </m:sub>
          </m:sSub>
          <m:r>
            <w:rPr>
              <w:rFonts w:ascii="Cambria Math" w:hAnsi="Cambria Math" w:cs="Arial"/>
              <w:sz w:val="22"/>
              <w:szCs w:val="22"/>
            </w:rPr>
            <m:t>β+</m:t>
          </m:r>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i</m:t>
              </m:r>
            </m:sub>
          </m:sSub>
          <m:r>
            <w:rPr>
              <w:rFonts w:ascii="Cambria Math" w:hAnsi="Cambria Math" w:cs="Arial"/>
              <w:sz w:val="22"/>
              <w:szCs w:val="22"/>
            </w:rPr>
            <m:t>,</m:t>
          </m:r>
        </m:oMath>
      </m:oMathPara>
    </w:p>
    <w:p w14:paraId="2D823D56" w14:textId="77777777" w:rsidR="000F7048" w:rsidRPr="004736A5" w:rsidRDefault="000F7048" w:rsidP="000F7048">
      <w:pPr>
        <w:spacing w:line="480" w:lineRule="auto"/>
        <w:rPr>
          <w:rFonts w:ascii="Arial" w:hAnsi="Arial" w:cs="Arial"/>
          <w:sz w:val="22"/>
          <w:szCs w:val="22"/>
        </w:rPr>
      </w:pPr>
      <m:oMathPara>
        <m:oMath>
          <m:r>
            <m:rPr>
              <m:sty m:val="bi"/>
            </m:rPr>
            <w:rPr>
              <w:rFonts w:ascii="Cambria Math" w:hAnsi="Cambria Math" w:cs="Arial"/>
              <w:sz w:val="22"/>
              <w:szCs w:val="22"/>
            </w:rPr>
            <m:t>g</m:t>
          </m:r>
          <m:r>
            <w:rPr>
              <w:rFonts w:ascii="Cambria Math" w:hAnsi="Cambria Math" w:cs="Arial"/>
              <w:sz w:val="22"/>
              <w:szCs w:val="22"/>
            </w:rPr>
            <m:t>=</m:t>
          </m:r>
          <m:sSup>
            <m:sSupPr>
              <m:ctrlPr>
                <w:rPr>
                  <w:rFonts w:ascii="Cambria Math" w:hAnsi="Cambria Math" w:cs="Arial"/>
                  <w:i/>
                  <w:sz w:val="22"/>
                  <w:szCs w:val="22"/>
                </w:rPr>
              </m:ctrlPr>
            </m:sSupPr>
            <m:e>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1</m:t>
                      </m:r>
                    </m:sub>
                  </m:sSub>
                  <m:r>
                    <w:rPr>
                      <w:rFonts w:ascii="Cambria Math" w:hAnsi="Cambria Math" w:cs="Arial"/>
                      <w:sz w:val="22"/>
                      <w:szCs w:val="22"/>
                    </w:rPr>
                    <m:t>, ⋯,</m:t>
                  </m:r>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n</m:t>
                      </m:r>
                    </m:sub>
                  </m:sSub>
                </m:e>
              </m:d>
            </m:e>
            <m:sup>
              <m:r>
                <w:rPr>
                  <w:rFonts w:ascii="Cambria Math" w:hAnsi="Cambria Math" w:cs="Arial"/>
                  <w:sz w:val="22"/>
                  <w:szCs w:val="22"/>
                </w:rPr>
                <m:t>T</m:t>
              </m:r>
            </m:sup>
          </m:sSup>
          <m:r>
            <m:rPr>
              <m:sty m:val="bi"/>
            </m:rPr>
            <w:rPr>
              <w:rFonts w:ascii="Cambria Math" w:hAnsi="Cambria Math" w:cs="Arial"/>
              <w:sz w:val="22"/>
              <w:szCs w:val="22"/>
            </w:rPr>
            <m:t>∼</m:t>
          </m:r>
          <m:r>
            <w:rPr>
              <w:rFonts w:ascii="Cambria Math" w:hAnsi="Cambria Math" w:cs="Arial"/>
              <w:sz w:val="22"/>
              <w:szCs w:val="22"/>
            </w:rPr>
            <m:t>MVN</m:t>
          </m:r>
          <m:d>
            <m:dPr>
              <m:ctrlPr>
                <w:rPr>
                  <w:rFonts w:ascii="Cambria Math" w:hAnsi="Cambria Math" w:cs="Arial"/>
                  <w:i/>
                  <w:sz w:val="22"/>
                  <w:szCs w:val="22"/>
                </w:rPr>
              </m:ctrlPr>
            </m:dPr>
            <m:e>
              <m:r>
                <w:rPr>
                  <w:rFonts w:ascii="Cambria Math" w:hAnsi="Cambria Math" w:cs="Arial"/>
                  <w:sz w:val="22"/>
                  <w:szCs w:val="22"/>
                </w:rPr>
                <m:t xml:space="preserve">0, </m:t>
              </m:r>
              <m:sSubSup>
                <m:sSubSupPr>
                  <m:ctrlPr>
                    <w:rPr>
                      <w:rFonts w:ascii="Cambria Math" w:hAnsi="Cambria Math" w:cs="Arial"/>
                      <w:i/>
                      <w:sz w:val="22"/>
                      <w:szCs w:val="22"/>
                    </w:rPr>
                  </m:ctrlPr>
                </m:sSubSupPr>
                <m:e>
                  <m:r>
                    <w:rPr>
                      <w:rFonts w:ascii="Cambria Math" w:hAnsi="Cambria Math" w:cs="Arial"/>
                      <w:sz w:val="22"/>
                      <w:szCs w:val="22"/>
                    </w:rPr>
                    <m:t>σ</m:t>
                  </m:r>
                </m:e>
                <m:sub>
                  <m:r>
                    <w:rPr>
                      <w:rFonts w:ascii="Cambria Math" w:hAnsi="Cambria Math" w:cs="Arial"/>
                      <w:sz w:val="22"/>
                      <w:szCs w:val="22"/>
                    </w:rPr>
                    <m:t>g</m:t>
                  </m:r>
                </m:sub>
                <m:sup>
                  <m:r>
                    <w:rPr>
                      <w:rFonts w:ascii="Cambria Math" w:hAnsi="Cambria Math" w:cs="Arial"/>
                      <w:sz w:val="22"/>
                      <w:szCs w:val="22"/>
                    </w:rPr>
                    <m:t>2</m:t>
                  </m:r>
                </m:sup>
              </m:sSubSup>
              <m:r>
                <m:rPr>
                  <m:sty m:val="bi"/>
                </m:rPr>
                <w:rPr>
                  <w:rFonts w:ascii="Cambria Math" w:hAnsi="Cambria Math" w:cs="Arial"/>
                  <w:sz w:val="22"/>
                  <w:szCs w:val="22"/>
                </w:rPr>
                <m:t>K</m:t>
              </m:r>
            </m:e>
          </m:d>
          <m:r>
            <w:rPr>
              <w:rFonts w:ascii="Cambria Math" w:hAnsi="Cambria Math" w:cs="Arial"/>
              <w:sz w:val="22"/>
              <w:szCs w:val="22"/>
            </w:rPr>
            <m:t>,</m:t>
          </m:r>
        </m:oMath>
      </m:oMathPara>
    </w:p>
    <w:p w14:paraId="7877DF56" w14:textId="77777777" w:rsidR="000F7048" w:rsidRPr="004736A5" w:rsidRDefault="000F7048" w:rsidP="000F7048">
      <w:pPr>
        <w:spacing w:line="480" w:lineRule="auto"/>
        <w:rPr>
          <w:rFonts w:ascii="Arial" w:hAnsi="Arial" w:cs="Arial"/>
          <w:sz w:val="22"/>
          <w:szCs w:val="22"/>
        </w:rPr>
      </w:pPr>
      <m:oMathPara>
        <m:oMath>
          <m:r>
            <m:rPr>
              <m:sty m:val="bi"/>
            </m:rPr>
            <w:rPr>
              <w:rFonts w:ascii="Cambria Math" w:hAnsi="Cambria Math" w:cs="Arial"/>
              <w:sz w:val="22"/>
              <w:szCs w:val="22"/>
            </w:rPr>
            <m:t>e</m:t>
          </m:r>
          <m:r>
            <w:rPr>
              <w:rFonts w:ascii="Cambria Math" w:hAnsi="Cambria Math" w:cs="Arial"/>
              <w:sz w:val="22"/>
              <w:szCs w:val="22"/>
            </w:rPr>
            <m:t>=</m:t>
          </m:r>
          <m:sSup>
            <m:sSupPr>
              <m:ctrlPr>
                <w:rPr>
                  <w:rFonts w:ascii="Cambria Math" w:hAnsi="Cambria Math" w:cs="Arial"/>
                  <w:i/>
                  <w:sz w:val="22"/>
                  <w:szCs w:val="22"/>
                </w:rPr>
              </m:ctrlPr>
            </m:sSupPr>
            <m:e>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1</m:t>
                      </m:r>
                    </m:sub>
                  </m:sSub>
                  <m:r>
                    <w:rPr>
                      <w:rFonts w:ascii="Cambria Math" w:hAnsi="Cambria Math" w:cs="Arial"/>
                      <w:sz w:val="22"/>
                      <w:szCs w:val="22"/>
                    </w:rPr>
                    <m:t>, ⋯,</m:t>
                  </m:r>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n</m:t>
                      </m:r>
                    </m:sub>
                  </m:sSub>
                </m:e>
              </m:d>
            </m:e>
            <m:sup>
              <m:r>
                <w:rPr>
                  <w:rFonts w:ascii="Cambria Math" w:hAnsi="Cambria Math" w:cs="Arial"/>
                  <w:sz w:val="22"/>
                  <w:szCs w:val="22"/>
                </w:rPr>
                <m:t>T</m:t>
              </m:r>
            </m:sup>
          </m:sSup>
          <m:r>
            <w:rPr>
              <w:rFonts w:ascii="Cambria Math" w:hAnsi="Cambria Math" w:cs="Arial"/>
              <w:sz w:val="22"/>
              <w:szCs w:val="22"/>
            </w:rPr>
            <m:t>∼MVN</m:t>
          </m:r>
          <m:d>
            <m:dPr>
              <m:ctrlPr>
                <w:rPr>
                  <w:rFonts w:ascii="Cambria Math" w:hAnsi="Cambria Math" w:cs="Arial"/>
                  <w:i/>
                  <w:sz w:val="22"/>
                  <w:szCs w:val="22"/>
                </w:rPr>
              </m:ctrlPr>
            </m:dPr>
            <m:e>
              <m:r>
                <w:rPr>
                  <w:rFonts w:ascii="Cambria Math" w:hAnsi="Cambria Math" w:cs="Arial"/>
                  <w:sz w:val="22"/>
                  <w:szCs w:val="22"/>
                </w:rPr>
                <m:t xml:space="preserve">0, </m:t>
              </m:r>
              <m:sSubSup>
                <m:sSubSupPr>
                  <m:ctrlPr>
                    <w:rPr>
                      <w:rFonts w:ascii="Cambria Math" w:hAnsi="Cambria Math" w:cs="Arial"/>
                      <w:i/>
                      <w:sz w:val="22"/>
                      <w:szCs w:val="22"/>
                    </w:rPr>
                  </m:ctrlPr>
                </m:sSubSupPr>
                <m:e>
                  <m:r>
                    <w:rPr>
                      <w:rFonts w:ascii="Cambria Math" w:hAnsi="Cambria Math" w:cs="Arial"/>
                      <w:sz w:val="22"/>
                      <w:szCs w:val="22"/>
                    </w:rPr>
                    <m:t>σ</m:t>
                  </m:r>
                </m:e>
                <m:sub>
                  <m:r>
                    <w:rPr>
                      <w:rFonts w:ascii="Cambria Math" w:hAnsi="Cambria Math" w:cs="Arial"/>
                      <w:sz w:val="22"/>
                      <w:szCs w:val="22"/>
                    </w:rPr>
                    <m:t>e</m:t>
                  </m:r>
                </m:sub>
                <m:sup>
                  <m:r>
                    <w:rPr>
                      <w:rFonts w:ascii="Cambria Math" w:hAnsi="Cambria Math" w:cs="Arial"/>
                      <w:sz w:val="22"/>
                      <w:szCs w:val="22"/>
                    </w:rPr>
                    <m:t>2</m:t>
                  </m:r>
                </m:sup>
              </m:sSubSup>
              <m:r>
                <m:rPr>
                  <m:sty m:val="bi"/>
                </m:rPr>
                <w:rPr>
                  <w:rFonts w:ascii="Cambria Math" w:hAnsi="Cambria Math" w:cs="Arial"/>
                  <w:sz w:val="22"/>
                  <w:szCs w:val="22"/>
                </w:rPr>
                <m:t>I</m:t>
              </m:r>
            </m:e>
          </m:d>
          <m:r>
            <w:rPr>
              <w:rFonts w:ascii="Cambria Math" w:hAnsi="Cambria Math" w:cs="Arial"/>
              <w:sz w:val="22"/>
              <w:szCs w:val="22"/>
            </w:rPr>
            <m:t>,</m:t>
          </m:r>
        </m:oMath>
      </m:oMathPara>
    </w:p>
    <w:p w14:paraId="29BFD0F1" w14:textId="77777777" w:rsidR="000F7048" w:rsidRPr="004736A5" w:rsidRDefault="000F7048" w:rsidP="000F7048">
      <w:pPr>
        <w:spacing w:line="480" w:lineRule="auto"/>
        <w:rPr>
          <w:rFonts w:ascii="Arial" w:hAnsi="Arial" w:cs="Arial"/>
          <w:sz w:val="22"/>
          <w:szCs w:val="22"/>
          <w:shd w:val="clear" w:color="auto" w:fill="FFFFFF"/>
        </w:rPr>
      </w:pPr>
      <w:r w:rsidRPr="004736A5">
        <w:rPr>
          <w:rFonts w:ascii="Arial" w:hAnsi="Arial" w:cs="Arial"/>
          <w:sz w:val="22"/>
          <w:szCs w:val="22"/>
        </w:rPr>
        <w:lastRenderedPageBreak/>
        <w:t xml:space="preserve">where </w:t>
      </w:r>
      <m:oMath>
        <m:sSub>
          <m:sSubPr>
            <m:ctrlPr>
              <w:rPr>
                <w:rFonts w:ascii="Cambria Math" w:hAnsi="Cambria Math" w:cs="Arial"/>
                <w:b/>
                <w:i/>
                <w:sz w:val="22"/>
                <w:szCs w:val="22"/>
              </w:rPr>
            </m:ctrlPr>
          </m:sSubPr>
          <m:e>
            <m:r>
              <m:rPr>
                <m:sty m:val="bi"/>
              </m:rPr>
              <w:rPr>
                <w:rFonts w:ascii="Cambria Math" w:hAnsi="Cambria Math" w:cs="Arial"/>
                <w:sz w:val="22"/>
                <w:szCs w:val="22"/>
              </w:rPr>
              <m:t>w</m:t>
            </m:r>
          </m:e>
          <m:sub>
            <m:r>
              <w:rPr>
                <w:rFonts w:ascii="Cambria Math" w:hAnsi="Cambria Math" w:cs="Arial"/>
                <w:sz w:val="22"/>
                <w:szCs w:val="22"/>
              </w:rPr>
              <m:t>i</m:t>
            </m:r>
          </m:sub>
        </m:sSub>
      </m:oMath>
      <w:r w:rsidRPr="004736A5">
        <w:rPr>
          <w:rFonts w:ascii="Arial" w:hAnsi="Arial" w:cs="Arial"/>
          <w:b/>
          <w:sz w:val="22"/>
          <w:szCs w:val="22"/>
        </w:rPr>
        <w:t xml:space="preserve"> </w:t>
      </w:r>
      <w:r w:rsidRPr="004736A5">
        <w:rPr>
          <w:rFonts w:ascii="Arial" w:hAnsi="Arial" w:cs="Arial"/>
          <w:sz w:val="22"/>
          <w:szCs w:val="22"/>
        </w:rPr>
        <w:t xml:space="preserve">is a vector of covariates we wish to control for, as well as an intercept, and </w:t>
      </w:r>
      <m:oMath>
        <m:r>
          <m:rPr>
            <m:sty m:val="bi"/>
          </m:rPr>
          <w:rPr>
            <w:rFonts w:ascii="Cambria Math" w:hAnsi="Cambria Math" w:cs="Arial"/>
            <w:sz w:val="22"/>
            <w:szCs w:val="22"/>
          </w:rPr>
          <m:t>α</m:t>
        </m:r>
      </m:oMath>
      <w:r w:rsidRPr="004736A5">
        <w:rPr>
          <w:rFonts w:ascii="Arial" w:hAnsi="Arial" w:cs="Arial"/>
          <w:sz w:val="22"/>
          <w:szCs w:val="22"/>
        </w:rPr>
        <w:t xml:space="preserve"> is an identically sized vector of corresponding coefficients. In our case, </w:t>
      </w:r>
      <m:oMath>
        <m:sSub>
          <m:sSubPr>
            <m:ctrlPr>
              <w:rPr>
                <w:rFonts w:ascii="Cambria Math" w:hAnsi="Cambria Math" w:cs="Arial"/>
                <w:b/>
                <w:i/>
                <w:sz w:val="22"/>
                <w:szCs w:val="22"/>
              </w:rPr>
            </m:ctrlPr>
          </m:sSubPr>
          <m:e>
            <m:r>
              <m:rPr>
                <m:sty m:val="bi"/>
              </m:rPr>
              <w:rPr>
                <w:rFonts w:ascii="Cambria Math" w:hAnsi="Cambria Math" w:cs="Arial"/>
                <w:sz w:val="22"/>
                <w:szCs w:val="22"/>
              </w:rPr>
              <m:t>w</m:t>
            </m:r>
          </m:e>
          <m:sub>
            <m:r>
              <w:rPr>
                <w:rFonts w:ascii="Cambria Math" w:hAnsi="Cambria Math" w:cs="Arial"/>
                <w:sz w:val="22"/>
                <w:szCs w:val="22"/>
              </w:rPr>
              <m:t>i</m:t>
            </m:r>
          </m:sub>
        </m:sSub>
      </m:oMath>
      <w:r w:rsidRPr="004736A5">
        <w:rPr>
          <w:rFonts w:ascii="Arial" w:hAnsi="Arial" w:cs="Arial"/>
          <w:b/>
          <w:sz w:val="22"/>
          <w:szCs w:val="22"/>
        </w:rPr>
        <w:t xml:space="preserve"> </w:t>
      </w:r>
      <w:r w:rsidRPr="004736A5">
        <w:rPr>
          <w:rFonts w:ascii="Arial" w:hAnsi="Arial" w:cs="Arial"/>
          <w:sz w:val="22"/>
          <w:szCs w:val="22"/>
        </w:rPr>
        <w:t xml:space="preserve">contains the following covariates: sex of the sampled individual, age of the sampled individual, age of the blood sample (measured in years since date of sampling), and bisulfite conversion rate (estimated from the lambda phage spike in). </w:t>
      </w:r>
      <w:r w:rsidRPr="004736A5">
        <w:rPr>
          <w:rFonts w:ascii="Arial" w:hAnsi="Arial" w:cs="Arial"/>
          <w:sz w:val="22"/>
          <w:szCs w:val="22"/>
          <w:shd w:val="clear" w:color="auto" w:fill="FFFFFF"/>
        </w:rPr>
        <w:t xml:space="preserve">The ages of all individuals born in the Amboseli study population (n = 51 in our data set) are known to within a few days’ error. For animals that immigrate into the study population, ages are estimated from morphological features by trained observers </w:t>
      </w:r>
      <w:r w:rsidRPr="004736A5">
        <w:rPr>
          <w:rFonts w:ascii="Arial" w:hAnsi="Arial" w:cs="Arial"/>
          <w:sz w:val="22"/>
          <w:szCs w:val="22"/>
          <w:shd w:val="clear" w:color="auto" w:fill="FFFFFF"/>
        </w:rPr>
        <w:fldChar w:fldCharType="begin" w:fldLock="1"/>
      </w:r>
      <w:r w:rsidR="00F43643">
        <w:rPr>
          <w:rFonts w:ascii="Arial" w:hAnsi="Arial" w:cs="Arial"/>
          <w:sz w:val="22"/>
          <w:szCs w:val="22"/>
          <w:shd w:val="clear" w:color="auto" w:fill="FFFFFF"/>
        </w:rPr>
        <w:instrText>ADDIN CSL_CITATION { "citationItems" : [ { "id" : "ITEM-1", "itemData" : { "DOI" : "10.1002/ajp.1350010404", "ISSN" : "0275-2565", "abstract" : "In a longitudinal study of individually identified wild baboons in Amboseli National Park, Kenya, we collected data on physical development and reproductive maturation. Confirming and extending our earlier results, we demonstrated that the ratio of ages at which developmental milestones occur in the field as compared to those under extensive provisioning or in captivity were approximately 5:3. The age range for some developmental milestones was quite narrow and discrete, while for others there was considerable between-individual variability and more gradual changes. For infants, only the change from pink to gray of the paracollasal skin occurred within a brief age span For older animals two important developmental events are readily identified and occur within a fairly narrow age range: Rapid enlargement of testes at 5 to 6 years for males and onset of menarche at 4 to 5.5 years for females. In the present report, we considered some consequences of accelerated or delayed maturation. We further explored the need to employ different age-class criteria for different research problems", "author" : [ { "dropping-particle" : "", "family" : "Altmann", "given" : "Jeanne", "non-dropping-particle" : "", "parse-names" : false, "suffix" : "" }, { "dropping-particle" : "", "family" : "Altmann", "given" : "Stuart", "non-dropping-particle" : "", "parse-names" : false, "suffix" : "" }, { "dropping-particle" : "", "family" : "Hausfater", "given" : "Glenn", "non-dropping-particle" : "", "parse-names" : false, "suffix" : "" } ], "container-title" : "American Journal of Primatology", "id" : "ITEM-1", "issued" : { "date-parts" : [ [ "1981" ] ] }, "page" : "389-399", "title" : "Physical maturation and age estimates of yellow baboons, Papio cynocephalus, in Amboseli National Park, Kenya", "type" : "article-journal", "volume" : "1" }, "uris" : [ "http://www.mendeley.com/documents/?uuid=37041a43-67a5-498e-8c56-6e0d259a607a" ] } ], "mendeley" : { "formattedCitation" : "[4]", "manualFormatting" : "(n = 18 animals in our data set)", "plainTextFormattedCitation" : "[4]", "previouslyFormattedCitation" : "[4]" }, "properties" : { "noteIndex" : 0 }, "schema" : "https://github.com/citation-style-language/schema/raw/master/csl-citation.json" }</w:instrText>
      </w:r>
      <w:r w:rsidRPr="004736A5">
        <w:rPr>
          <w:rFonts w:ascii="Arial" w:hAnsi="Arial" w:cs="Arial"/>
          <w:sz w:val="22"/>
          <w:szCs w:val="22"/>
          <w:shd w:val="clear" w:color="auto" w:fill="FFFFFF"/>
        </w:rPr>
        <w:fldChar w:fldCharType="separate"/>
      </w:r>
      <w:r w:rsidRPr="004736A5">
        <w:rPr>
          <w:rFonts w:ascii="Arial" w:hAnsi="Arial" w:cs="Arial"/>
          <w:noProof/>
          <w:sz w:val="22"/>
          <w:szCs w:val="22"/>
          <w:shd w:val="clear" w:color="auto" w:fill="FFFFFF"/>
        </w:rPr>
        <w:t>(n = 18 animals in our data set)</w:t>
      </w:r>
      <w:r w:rsidRPr="004736A5">
        <w:rPr>
          <w:rFonts w:ascii="Arial" w:hAnsi="Arial" w:cs="Arial"/>
          <w:sz w:val="22"/>
          <w:szCs w:val="22"/>
          <w:shd w:val="clear" w:color="auto" w:fill="FFFFFF"/>
        </w:rPr>
        <w:fldChar w:fldCharType="end"/>
      </w:r>
      <w:r w:rsidRPr="004736A5">
        <w:rPr>
          <w:rFonts w:ascii="Arial" w:hAnsi="Arial" w:cs="Arial"/>
          <w:sz w:val="22"/>
          <w:szCs w:val="22"/>
          <w:shd w:val="clear" w:color="auto" w:fill="FFFFFF"/>
        </w:rPr>
        <w:t xml:space="preserve">. </w:t>
      </w:r>
      <m:oMath>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i</m:t>
            </m:r>
          </m:sub>
        </m:sSub>
      </m:oMath>
      <w:r w:rsidRPr="004736A5">
        <w:rPr>
          <w:rFonts w:ascii="Arial" w:hAnsi="Arial" w:cs="Arial"/>
          <w:b/>
          <w:sz w:val="22"/>
          <w:szCs w:val="22"/>
        </w:rPr>
        <w:t xml:space="preserve"> </w:t>
      </w:r>
      <w:r w:rsidRPr="004736A5">
        <w:rPr>
          <w:rFonts w:ascii="Arial" w:hAnsi="Arial" w:cs="Arial"/>
          <w:sz w:val="22"/>
          <w:szCs w:val="22"/>
        </w:rPr>
        <w:t xml:space="preserve">denotes the foraging group of the </w:t>
      </w:r>
      <w:r w:rsidRPr="004736A5">
        <w:rPr>
          <w:rFonts w:ascii="Arial" w:hAnsi="Arial" w:cs="Arial"/>
          <w:i/>
          <w:sz w:val="22"/>
          <w:szCs w:val="22"/>
        </w:rPr>
        <w:t>i</w:t>
      </w:r>
      <w:r w:rsidRPr="004736A5">
        <w:rPr>
          <w:rFonts w:ascii="Arial" w:hAnsi="Arial" w:cs="Arial"/>
          <w:sz w:val="22"/>
          <w:szCs w:val="22"/>
        </w:rPr>
        <w:t xml:space="preserve">th individual (Lodge or wild-feeding) and </w:t>
      </w:r>
      <m:oMath>
        <m:r>
          <w:rPr>
            <w:rFonts w:ascii="Cambria Math" w:hAnsi="Cambria Math" w:cs="Arial"/>
            <w:sz w:val="22"/>
            <w:szCs w:val="22"/>
          </w:rPr>
          <m:t>β</m:t>
        </m:r>
      </m:oMath>
      <w:r w:rsidRPr="004736A5">
        <w:rPr>
          <w:rFonts w:ascii="Arial" w:hAnsi="Arial" w:cs="Arial"/>
          <w:sz w:val="22"/>
          <w:szCs w:val="22"/>
        </w:rPr>
        <w:t xml:space="preserve"> is the corresponding estimate of this effect. </w:t>
      </w:r>
      <w:r w:rsidRPr="004736A5">
        <w:rPr>
          <w:rFonts w:ascii="Arial" w:hAnsi="Arial" w:cs="Arial"/>
          <w:sz w:val="22"/>
          <w:szCs w:val="22"/>
          <w:shd w:val="clear" w:color="auto" w:fill="FFFFFF"/>
        </w:rPr>
        <w:t>In addition, we included a random genetic effect (</w:t>
      </w:r>
      <m:oMath>
        <m:sSub>
          <m:sSubPr>
            <m:ctrlPr>
              <w:rPr>
                <w:rFonts w:ascii="Cambria Math" w:eastAsia="Times New Roman" w:hAnsi="Cambria Math" w:cs="Arial"/>
                <w:i/>
                <w:sz w:val="22"/>
                <w:szCs w:val="22"/>
                <w:shd w:val="clear" w:color="auto" w:fill="FFFFFF"/>
              </w:rPr>
            </m:ctrlPr>
          </m:sSubPr>
          <m:e>
            <m:r>
              <w:rPr>
                <w:rFonts w:ascii="Cambria Math" w:eastAsia="Times New Roman" w:hAnsi="Cambria Math" w:cs="Arial"/>
                <w:sz w:val="22"/>
                <w:szCs w:val="22"/>
                <w:shd w:val="clear" w:color="auto" w:fill="FFFFFF"/>
              </w:rPr>
              <m:t>g</m:t>
            </m:r>
          </m:e>
          <m:sub>
            <m:r>
              <w:rPr>
                <w:rFonts w:ascii="Cambria Math" w:eastAsia="Times New Roman" w:hAnsi="Cambria Math" w:cs="Arial"/>
                <w:sz w:val="22"/>
                <w:szCs w:val="22"/>
                <w:shd w:val="clear" w:color="auto" w:fill="FFFFFF"/>
              </w:rPr>
              <m:t>i</m:t>
            </m:r>
          </m:sub>
        </m:sSub>
        <m:r>
          <w:rPr>
            <w:rFonts w:ascii="Cambria Math" w:eastAsia="Times New Roman" w:hAnsi="Cambria Math" w:cs="Arial"/>
            <w:sz w:val="22"/>
            <w:szCs w:val="22"/>
            <w:shd w:val="clear" w:color="auto" w:fill="FFFFFF"/>
          </w:rPr>
          <m:t>)</m:t>
        </m:r>
      </m:oMath>
      <w:r>
        <w:rPr>
          <w:rFonts w:ascii="Arial" w:hAnsi="Arial" w:cs="Arial"/>
          <w:sz w:val="22"/>
          <w:szCs w:val="22"/>
          <w:shd w:val="clear" w:color="auto" w:fill="FFFFFF"/>
        </w:rPr>
        <w:t>. The</w:t>
      </w:r>
      <w:r w:rsidRPr="004736A5">
        <w:rPr>
          <w:rFonts w:ascii="Arial" w:hAnsi="Arial" w:cs="Arial"/>
          <w:sz w:val="22"/>
          <w:szCs w:val="22"/>
          <w:shd w:val="clear" w:color="auto" w:fill="FFFFFF"/>
        </w:rPr>
        <w:t xml:space="preserve"> </w:t>
      </w:r>
      <w:r>
        <w:rPr>
          <w:rFonts w:ascii="Arial" w:hAnsi="Arial" w:cs="Arial"/>
          <w:sz w:val="22"/>
          <w:szCs w:val="22"/>
          <w:shd w:val="clear" w:color="auto" w:fill="FFFFFF"/>
        </w:rPr>
        <w:t xml:space="preserve">variance of </w:t>
      </w:r>
      <m:oMath>
        <m:sSub>
          <m:sSubPr>
            <m:ctrlPr>
              <w:rPr>
                <w:rFonts w:ascii="Cambria Math" w:eastAsia="Times New Roman" w:hAnsi="Cambria Math" w:cs="Arial"/>
                <w:i/>
                <w:sz w:val="22"/>
                <w:szCs w:val="22"/>
                <w:shd w:val="clear" w:color="auto" w:fill="FFFFFF"/>
              </w:rPr>
            </m:ctrlPr>
          </m:sSubPr>
          <m:e>
            <m:r>
              <w:rPr>
                <w:rFonts w:ascii="Cambria Math" w:eastAsia="Times New Roman" w:hAnsi="Cambria Math" w:cs="Arial"/>
                <w:sz w:val="22"/>
                <w:szCs w:val="22"/>
                <w:shd w:val="clear" w:color="auto" w:fill="FFFFFF"/>
              </w:rPr>
              <m:t>g</m:t>
            </m:r>
          </m:e>
          <m:sub>
            <m:r>
              <w:rPr>
                <w:rFonts w:ascii="Cambria Math" w:eastAsia="Times New Roman" w:hAnsi="Cambria Math" w:cs="Arial"/>
                <w:sz w:val="22"/>
                <w:szCs w:val="22"/>
                <w:shd w:val="clear" w:color="auto" w:fill="FFFFFF"/>
              </w:rPr>
              <m:t>i</m:t>
            </m:r>
          </m:sub>
        </m:sSub>
      </m:oMath>
      <w:r>
        <w:rPr>
          <w:rFonts w:ascii="Arial" w:hAnsi="Arial" w:cs="Arial"/>
          <w:sz w:val="22"/>
          <w:szCs w:val="22"/>
          <w:shd w:val="clear" w:color="auto" w:fill="FFFFFF"/>
        </w:rPr>
        <w:t xml:space="preserve"> is influenced</w:t>
      </w:r>
      <w:r w:rsidRPr="004736A5">
        <w:rPr>
          <w:rFonts w:ascii="Arial" w:hAnsi="Arial" w:cs="Arial"/>
          <w:sz w:val="22"/>
          <w:szCs w:val="22"/>
          <w:shd w:val="clear" w:color="auto" w:fill="FFFFFF"/>
        </w:rPr>
        <w:t xml:space="preserve"> by pairwise relatedness </w:t>
      </w:r>
      <w:r>
        <w:rPr>
          <w:rFonts w:ascii="Arial" w:hAnsi="Arial" w:cs="Arial"/>
          <w:sz w:val="22"/>
          <w:szCs w:val="22"/>
          <w:shd w:val="clear" w:color="auto" w:fill="FFFFFF"/>
        </w:rPr>
        <w:t xml:space="preserve">between individuals in the sample, given by the </w:t>
      </w:r>
      <w:r w:rsidRPr="004736A5">
        <w:rPr>
          <w:rFonts w:ascii="Arial" w:hAnsi="Arial" w:cs="Arial"/>
          <w:sz w:val="22"/>
          <w:szCs w:val="22"/>
          <w:shd w:val="clear" w:color="auto" w:fill="FFFFFF"/>
        </w:rPr>
        <w:t xml:space="preserve">matrix </w:t>
      </w:r>
      <m:oMath>
        <m:r>
          <m:rPr>
            <m:sty m:val="bi"/>
          </m:rPr>
          <w:rPr>
            <w:rFonts w:ascii="Cambria Math" w:hAnsi="Cambria Math" w:cs="Arial"/>
            <w:sz w:val="22"/>
            <w:szCs w:val="22"/>
          </w:rPr>
          <m:t>K</m:t>
        </m:r>
      </m:oMath>
      <w:r>
        <w:rPr>
          <w:rFonts w:ascii="Arial" w:hAnsi="Arial" w:cs="Arial"/>
          <w:sz w:val="22"/>
          <w:szCs w:val="22"/>
          <w:shd w:val="clear" w:color="auto" w:fill="FFFFFF"/>
        </w:rPr>
        <w:t>.</w:t>
      </w:r>
      <w:r w:rsidRPr="004736A5">
        <w:rPr>
          <w:rFonts w:ascii="Arial" w:hAnsi="Arial" w:cs="Arial"/>
          <w:sz w:val="22"/>
          <w:szCs w:val="22"/>
          <w:shd w:val="clear" w:color="auto" w:fill="FFFFFF"/>
        </w:rPr>
        <w:t xml:space="preserve"> </w:t>
      </w:r>
      <w:r>
        <w:rPr>
          <w:rFonts w:ascii="Arial" w:hAnsi="Arial" w:cs="Arial"/>
          <w:sz w:val="22"/>
          <w:szCs w:val="22"/>
          <w:shd w:val="clear" w:color="auto" w:fill="FFFFFF"/>
        </w:rPr>
        <w:t>P</w:t>
      </w:r>
      <w:r w:rsidRPr="004736A5">
        <w:rPr>
          <w:rFonts w:ascii="Arial" w:hAnsi="Arial" w:cs="Arial"/>
          <w:sz w:val="22"/>
          <w:szCs w:val="22"/>
          <w:shd w:val="clear" w:color="auto" w:fill="FFFFFF"/>
        </w:rPr>
        <w:t xml:space="preserve">airwise relatedness values were </w:t>
      </w:r>
      <w:r>
        <w:rPr>
          <w:rFonts w:ascii="Arial" w:hAnsi="Arial" w:cs="Arial"/>
          <w:sz w:val="22"/>
          <w:szCs w:val="22"/>
          <w:shd w:val="clear" w:color="auto" w:fill="FFFFFF"/>
        </w:rPr>
        <w:t>calculated</w:t>
      </w:r>
      <w:r w:rsidRPr="004736A5">
        <w:rPr>
          <w:rFonts w:ascii="Arial" w:hAnsi="Arial" w:cs="Arial"/>
          <w:sz w:val="22"/>
          <w:szCs w:val="22"/>
          <w:shd w:val="clear" w:color="auto" w:fill="FFFFFF"/>
        </w:rPr>
        <w:t xml:space="preserve"> from previously collected microsatellite data (14 highly polymorphic loci) </w:t>
      </w:r>
      <w:r>
        <w:rPr>
          <w:rFonts w:ascii="Arial" w:hAnsi="Arial" w:cs="Arial"/>
          <w:sz w:val="22"/>
          <w:szCs w:val="22"/>
          <w:shd w:val="clear" w:color="auto" w:fill="FFFFFF"/>
        </w:rPr>
        <w:t>using</w:t>
      </w:r>
      <w:r w:rsidRPr="004736A5">
        <w:rPr>
          <w:rFonts w:ascii="Arial" w:hAnsi="Arial" w:cs="Arial"/>
          <w:sz w:val="22"/>
          <w:szCs w:val="22"/>
          <w:shd w:val="clear" w:color="auto" w:fill="FFFFFF"/>
        </w:rPr>
        <w:t xml:space="preserve"> the program COANCESTRY </w:t>
      </w:r>
      <w:r w:rsidRPr="004736A5">
        <w:rPr>
          <w:rFonts w:ascii="Arial" w:hAnsi="Arial" w:cs="Arial"/>
          <w:sz w:val="22"/>
          <w:szCs w:val="22"/>
          <w:shd w:val="clear" w:color="auto" w:fill="FFFFFF"/>
        </w:rPr>
        <w:fldChar w:fldCharType="begin" w:fldLock="1"/>
      </w:r>
      <w:r w:rsidR="00F43643">
        <w:rPr>
          <w:rFonts w:ascii="Arial" w:hAnsi="Arial" w:cs="Arial"/>
          <w:sz w:val="22"/>
          <w:szCs w:val="22"/>
          <w:shd w:val="clear" w:color="auto" w:fill="FFFFFF"/>
        </w:rPr>
        <w:instrText>ADDIN CSL_CITATION { "citationItems" : [ { "id" : "ITEM-1", "itemData" : { "DOI" : "10.1016/j.anbehav.2006.05.001", "ISSN" : "00033472", "author" : [ { "dropping-particle" : "", "family" : "Alberts", "given" : "Susan C.", "non-dropping-particle" : "", "parse-names" : false, "suffix" : "" }, { "dropping-particle" : "", "family" : "Buchan", "given" : "Jason C.", "non-dropping-particle" : "", "parse-names" : false, "suffix" : "" }, { "dropping-particle" : "", "family" : "Altmann", "given" : "Jeanne", "non-dropping-particle" : "", "parse-names" : false, "suffix" : "" } ], "container-title" : "Animal Behaviour", "id" : "ITEM-1", "issue" : "5", "issued" : { "date-parts" : [ [ "2006", "11" ] ] }, "page" : "1177-1196", "title" : "Sexual selection in wild baboons: from mating opportunities to paternity success", "type" : "article-journal", "volume" : "72" }, "uris" : [ "http://www.mendeley.com/documents/?uuid=5fed0143-19ab-407d-bbb1-235eef6cf1a6" ] }, { "id" : "ITEM-2", "itemData" : { "DOI" : "10.1038/nature01866", "ISSN" : "1476-4687", "PMID" : "12968180", "abstract" : "Although male parental care is rare among mammals, adult males of many cercopithecine primate species provide care for infants and juveniles. This care is often in the form of grooming, carrying, support in agonistic interactions, and protection against infanticide. For these behaviours to be interpreted as true parental care, males must selectively direct care towards their own offspring and this care must result in fitness benefits. With the exception of males defending probable offspring from infanticide, male primates living in multi-male, multi-female social groups have not been shown to selectively direct care towards their own offspring. We determined paternity for 75 juveniles in a population of wild savannah baboons (Papio cynocephalus) and collected data on interventions in agonistic disputes by adult males on behalf of juveniles as a form of male care. Here we show that adult males differentiate their offspring from unrelated juveniles and selectively support their offspring in agonistic disputes. As support in agonistic disputes is likely to contribute to rank acquisition and protect juveniles from injury and stress, this can be considered true parental care.", "author" : [ { "dropping-particle" : "", "family" : "Buchan", "given" : "Jason C", "non-dropping-particle" : "", "parse-names" : false, "suffix" : "" }, { "dropping-particle" : "", "family" : "Alberts", "given" : "Susan C", "non-dropping-particle" : "", "parse-names" : false, "suffix" : "" }, { "dropping-particle" : "", "family" : "Silk", "given" : "Joan B", "non-dropping-particle" : "", "parse-names" : false, "suffix" : "" }, { "dropping-particle" : "", "family" : "Altmann", "given" : "Jeanne", "non-dropping-particle" : "", "parse-names" : false, "suffix" : "" } ], "container-title" : "Nature", "id" : "ITEM-2", "issue" : "6954", "issued" : { "date-parts" : [ [ "2003", "9", "11" ] ] }, "page" : "179-81", "title" : "True paternal care in a multi-male primate society.", "type" : "article-journal", "volume" : "425" }, "uris" : [ "http://www.mendeley.com/documents/?uuid=8b084067-6f50-4f01-bb59-bcae15c94deb" ] }, { "id" : "ITEM-3", "itemData" : { "DOI" : "10.1111/j.1755-0998.2010.02885.x", "ISSN" : "1755-0998", "PMID" : "21429111", "abstract" : "The software package COANCESTRY implements seven relatedness estimators and three inbreeding estimators to estimate relatedness and inbreeding coefficients from multilocus genotype data. Two likelihood estimators that allow for inbred individuals and account for genotyping errors are for the first time included in this user-friendly program for PCs running Windows operating system. A simulation module is built in the program to simulate multilocus genotype data of individuals with a predefined relationship, and to compare the estimators and the simulated relatedness values to facilitate the selection of the best estimator in a particular situation. Bootstrapping and permutations are used to obtain the 95% confidence intervals of each relatedness or inbreeding estimate, and to test the difference in averages between groups.", "author" : [ { "dropping-particle" : "", "family" : "Wang", "given" : "Jinliang", "non-dropping-particle" : "", "parse-names" : false, "suffix" : "" } ], "container-title" : "Molecular ecology resources", "id" : "ITEM-3", "issue" : "1", "issued" : { "date-parts" : [ [ "2011", "1" ] ] }, "page" : "141-5", "title" : "COANCESTRY: a program for simulating, estimating and analysing relatedness and inbreeding coefficients.", "type" : "article-journal", "volume" : "11" }, "uris" : [ "http://www.mendeley.com/documents/?uuid=b49ae9e4-7acb-4c15-b149-cc24872e46a4" ] } ], "mendeley" : { "formattedCitation" : "[5\u20137]", "plainTextFormattedCitation" : "[5\u20137]", "previouslyFormattedCitation" : "[5\u20137]" }, "properties" : { "noteIndex" : 0 }, "schema" : "https://github.com/citation-style-language/schema/raw/master/csl-citation.json" }</w:instrText>
      </w:r>
      <w:r w:rsidRPr="004736A5">
        <w:rPr>
          <w:rFonts w:ascii="Arial" w:hAnsi="Arial" w:cs="Arial"/>
          <w:sz w:val="22"/>
          <w:szCs w:val="22"/>
          <w:shd w:val="clear" w:color="auto" w:fill="FFFFFF"/>
        </w:rPr>
        <w:fldChar w:fldCharType="separate"/>
      </w:r>
      <w:r w:rsidR="00F43643" w:rsidRPr="00F43643">
        <w:rPr>
          <w:rFonts w:ascii="Arial" w:hAnsi="Arial" w:cs="Arial"/>
          <w:noProof/>
          <w:sz w:val="22"/>
          <w:szCs w:val="22"/>
          <w:shd w:val="clear" w:color="auto" w:fill="FFFFFF"/>
        </w:rPr>
        <w:t>[5–7]</w:t>
      </w:r>
      <w:r w:rsidRPr="004736A5">
        <w:rPr>
          <w:rFonts w:ascii="Arial" w:hAnsi="Arial" w:cs="Arial"/>
          <w:sz w:val="22"/>
          <w:szCs w:val="22"/>
          <w:shd w:val="clear" w:color="auto" w:fill="FFFFFF"/>
        </w:rPr>
        <w:fldChar w:fldCharType="end"/>
      </w:r>
      <w:r w:rsidRPr="004736A5">
        <w:rPr>
          <w:rFonts w:ascii="Arial" w:hAnsi="Arial" w:cs="Arial"/>
          <w:sz w:val="22"/>
          <w:szCs w:val="22"/>
          <w:shd w:val="clear" w:color="auto" w:fill="FFFFFF"/>
        </w:rPr>
        <w:t xml:space="preserve">. In this model, </w:t>
      </w:r>
      <m:oMath>
        <m:sSubSup>
          <m:sSubSupPr>
            <m:ctrlPr>
              <w:rPr>
                <w:rFonts w:ascii="Cambria Math" w:eastAsia="Times New Roman" w:hAnsi="Cambria Math" w:cs="Arial"/>
                <w:i/>
                <w:sz w:val="22"/>
                <w:szCs w:val="22"/>
                <w:shd w:val="clear" w:color="auto" w:fill="FFFFFF"/>
              </w:rPr>
            </m:ctrlPr>
          </m:sSubSupPr>
          <m:e>
            <m:r>
              <w:rPr>
                <w:rFonts w:ascii="Cambria Math" w:eastAsia="Times New Roman" w:hAnsi="Cambria Math" w:cs="Arial"/>
                <w:sz w:val="22"/>
                <w:szCs w:val="22"/>
                <w:shd w:val="clear" w:color="auto" w:fill="FFFFFF"/>
              </w:rPr>
              <m:t>σ</m:t>
            </m:r>
          </m:e>
          <m:sub>
            <m:r>
              <w:rPr>
                <w:rFonts w:ascii="Cambria Math" w:eastAsia="Times New Roman" w:hAnsi="Cambria Math" w:cs="Arial"/>
                <w:sz w:val="22"/>
                <w:szCs w:val="22"/>
                <w:shd w:val="clear" w:color="auto" w:fill="FFFFFF"/>
              </w:rPr>
              <m:t>g</m:t>
            </m:r>
          </m:sub>
          <m:sup>
            <m:r>
              <w:rPr>
                <w:rFonts w:ascii="Cambria Math" w:eastAsia="Times New Roman" w:hAnsi="Cambria Math" w:cs="Arial"/>
                <w:sz w:val="22"/>
                <w:szCs w:val="22"/>
                <w:shd w:val="clear" w:color="auto" w:fill="FFFFFF"/>
              </w:rPr>
              <m:t>2</m:t>
            </m:r>
          </m:sup>
        </m:sSubSup>
      </m:oMath>
      <w:r w:rsidRPr="004736A5">
        <w:rPr>
          <w:rFonts w:ascii="Arial" w:hAnsi="Arial" w:cs="Arial"/>
          <w:i/>
          <w:iCs/>
          <w:sz w:val="22"/>
          <w:szCs w:val="22"/>
          <w:shd w:val="clear" w:color="auto" w:fill="FFFFFF"/>
        </w:rPr>
        <w:t xml:space="preserve"> </w:t>
      </w:r>
      <w:r w:rsidRPr="004736A5">
        <w:rPr>
          <w:rFonts w:ascii="Arial" w:hAnsi="Arial" w:cs="Arial"/>
          <w:sz w:val="22"/>
          <w:szCs w:val="22"/>
          <w:shd w:val="clear" w:color="auto" w:fill="FFFFFF"/>
        </w:rPr>
        <w:t xml:space="preserve">and </w:t>
      </w:r>
      <m:oMath>
        <m:sSubSup>
          <m:sSubSupPr>
            <m:ctrlPr>
              <w:rPr>
                <w:rFonts w:ascii="Cambria Math" w:eastAsia="Times New Roman" w:hAnsi="Cambria Math" w:cs="Arial"/>
                <w:i/>
                <w:sz w:val="22"/>
                <w:szCs w:val="22"/>
                <w:shd w:val="clear" w:color="auto" w:fill="FFFFFF"/>
              </w:rPr>
            </m:ctrlPr>
          </m:sSubSupPr>
          <m:e>
            <m:r>
              <w:rPr>
                <w:rFonts w:ascii="Cambria Math" w:eastAsia="Times New Roman" w:hAnsi="Cambria Math" w:cs="Arial"/>
                <w:sz w:val="22"/>
                <w:szCs w:val="22"/>
                <w:shd w:val="clear" w:color="auto" w:fill="FFFFFF"/>
              </w:rPr>
              <m:t>σ</m:t>
            </m:r>
          </m:e>
          <m:sub>
            <m:r>
              <w:rPr>
                <w:rFonts w:ascii="Cambria Math" w:eastAsia="Times New Roman" w:hAnsi="Cambria Math" w:cs="Arial"/>
                <w:sz w:val="22"/>
                <w:szCs w:val="22"/>
                <w:shd w:val="clear" w:color="auto" w:fill="FFFFFF"/>
              </w:rPr>
              <m:t>e</m:t>
            </m:r>
          </m:sub>
          <m:sup>
            <m:r>
              <w:rPr>
                <w:rFonts w:ascii="Cambria Math" w:eastAsia="Times New Roman" w:hAnsi="Cambria Math" w:cs="Arial"/>
                <w:sz w:val="22"/>
                <w:szCs w:val="22"/>
                <w:shd w:val="clear" w:color="auto" w:fill="FFFFFF"/>
              </w:rPr>
              <m:t>2</m:t>
            </m:r>
          </m:sup>
        </m:sSubSup>
      </m:oMath>
      <w:r w:rsidRPr="004736A5">
        <w:rPr>
          <w:rFonts w:ascii="Arial" w:hAnsi="Arial" w:cs="Arial"/>
          <w:sz w:val="22"/>
          <w:szCs w:val="22"/>
          <w:shd w:val="clear" w:color="auto" w:fill="FFFFFF"/>
        </w:rPr>
        <w:t xml:space="preserve"> represent genetic and environmental variance components</w:t>
      </w:r>
      <w:r>
        <w:rPr>
          <w:rFonts w:ascii="Arial" w:hAnsi="Arial" w:cs="Arial"/>
          <w:sz w:val="22"/>
          <w:szCs w:val="22"/>
          <w:shd w:val="clear" w:color="auto" w:fill="FFFFFF"/>
        </w:rPr>
        <w:t xml:space="preserve"> for the DNA methylation trait</w:t>
      </w:r>
      <w:r w:rsidRPr="004736A5">
        <w:rPr>
          <w:rFonts w:ascii="Arial" w:hAnsi="Arial" w:cs="Arial"/>
          <w:sz w:val="22"/>
          <w:szCs w:val="22"/>
          <w:shd w:val="clear" w:color="auto" w:fill="FFFFFF"/>
        </w:rPr>
        <w:t xml:space="preserve">, and </w:t>
      </w:r>
      <m:oMath>
        <m:sSub>
          <m:sSubPr>
            <m:ctrlPr>
              <w:rPr>
                <w:rFonts w:ascii="Cambria Math" w:eastAsia="Times New Roman" w:hAnsi="Cambria Math" w:cs="Arial"/>
                <w:i/>
                <w:sz w:val="22"/>
                <w:szCs w:val="22"/>
                <w:shd w:val="clear" w:color="auto" w:fill="FFFFFF"/>
              </w:rPr>
            </m:ctrlPr>
          </m:sSubPr>
          <m:e>
            <m:r>
              <w:rPr>
                <w:rFonts w:ascii="Cambria Math" w:eastAsia="Times New Roman" w:hAnsi="Cambria Math" w:cs="Arial"/>
                <w:sz w:val="22"/>
                <w:szCs w:val="22"/>
                <w:shd w:val="clear" w:color="auto" w:fill="FFFFFF"/>
              </w:rPr>
              <m:t>e</m:t>
            </m:r>
          </m:e>
          <m:sub>
            <m:r>
              <w:rPr>
                <w:rFonts w:ascii="Cambria Math" w:eastAsia="Times New Roman" w:hAnsi="Cambria Math" w:cs="Arial"/>
                <w:sz w:val="22"/>
                <w:szCs w:val="22"/>
                <w:shd w:val="clear" w:color="auto" w:fill="FFFFFF"/>
              </w:rPr>
              <m:t>i</m:t>
            </m:r>
          </m:sub>
        </m:sSub>
      </m:oMath>
      <w:r w:rsidRPr="004736A5">
        <w:rPr>
          <w:rFonts w:ascii="Arial" w:hAnsi="Arial" w:cs="Arial"/>
          <w:sz w:val="22"/>
          <w:szCs w:val="22"/>
          <w:shd w:val="clear" w:color="auto" w:fill="FFFFFF"/>
        </w:rPr>
        <w:t xml:space="preserve"> denotes model error. For each model (i.e., CpG site), we extracted the p-value associated with the effect of foraging group on DNA methylation levels (</w:t>
      </w:r>
      <m:oMath>
        <m:r>
          <w:rPr>
            <w:rFonts w:ascii="Cambria Math" w:hAnsi="Cambria Math" w:cs="Arial"/>
            <w:sz w:val="22"/>
            <w:szCs w:val="22"/>
          </w:rPr>
          <m:t>β</m:t>
        </m:r>
      </m:oMath>
      <w:r w:rsidRPr="004736A5">
        <w:rPr>
          <w:rFonts w:ascii="Arial" w:hAnsi="Arial" w:cs="Arial"/>
          <w:sz w:val="22"/>
          <w:szCs w:val="22"/>
          <w:shd w:val="clear" w:color="auto" w:fill="FFFFFF"/>
        </w:rPr>
        <w:t xml:space="preserve">). </w:t>
      </w:r>
    </w:p>
    <w:p w14:paraId="3EBF7A34" w14:textId="77777777" w:rsidR="000F7048" w:rsidRPr="003D12A4" w:rsidRDefault="000F7048" w:rsidP="000F7048">
      <w:pPr>
        <w:pStyle w:val="Heading1"/>
      </w:pPr>
      <w:bookmarkStart w:id="8" w:name="_Toc306792077"/>
      <w:bookmarkStart w:id="9" w:name="_Toc297739052"/>
      <w:bookmarkStart w:id="10" w:name="_Toc306797748"/>
      <w:r w:rsidRPr="00EF44B1">
        <w:t>Estima</w:t>
      </w:r>
      <w:r w:rsidRPr="003D12A4">
        <w:t xml:space="preserve">ting the relationship between sample size and </w:t>
      </w:r>
      <w:r>
        <w:t>power to</w:t>
      </w:r>
      <w:r w:rsidRPr="003D12A4">
        <w:t xml:space="preserve"> </w:t>
      </w:r>
      <w:r>
        <w:t>detect</w:t>
      </w:r>
      <w:r w:rsidRPr="003D12A4">
        <w:t xml:space="preserve"> </w:t>
      </w:r>
      <w:r>
        <w:t xml:space="preserve">resource base-associated </w:t>
      </w:r>
      <w:r w:rsidRPr="003D12A4">
        <w:t>sites</w:t>
      </w:r>
      <w:bookmarkEnd w:id="8"/>
      <w:bookmarkEnd w:id="10"/>
      <w:r w:rsidRPr="003D12A4">
        <w:t xml:space="preserve"> </w:t>
      </w:r>
    </w:p>
    <w:p w14:paraId="52BFEFC3" w14:textId="77777777" w:rsidR="000F7048" w:rsidRPr="003D12A4" w:rsidRDefault="000F7048" w:rsidP="000F7048">
      <w:pPr>
        <w:spacing w:line="480" w:lineRule="auto"/>
        <w:ind w:firstLine="720"/>
        <w:rPr>
          <w:rFonts w:ascii="Arial" w:hAnsi="Arial" w:cs="Arial"/>
          <w:sz w:val="22"/>
          <w:szCs w:val="22"/>
        </w:rPr>
      </w:pPr>
      <w:r w:rsidRPr="00956791">
        <w:rPr>
          <w:rFonts w:ascii="Arial" w:hAnsi="Arial" w:cs="Arial"/>
          <w:sz w:val="22"/>
          <w:szCs w:val="22"/>
        </w:rPr>
        <w:t xml:space="preserve">We used a subset of our data to estimate the relationship between sample size and the number of true positive, resource-base associated sites detected in our analyses. Specifically, for each CpG site on chromosome 1 (in our filtered dataset, n = </w:t>
      </w:r>
      <w:r>
        <w:rPr>
          <w:rFonts w:ascii="Arial" w:hAnsi="Arial" w:cs="Arial"/>
          <w:sz w:val="22"/>
          <w:szCs w:val="22"/>
        </w:rPr>
        <w:t>49,576</w:t>
      </w:r>
      <w:r w:rsidRPr="003D12A4">
        <w:rPr>
          <w:rFonts w:ascii="Arial" w:hAnsi="Arial" w:cs="Arial"/>
          <w:sz w:val="22"/>
          <w:szCs w:val="22"/>
        </w:rPr>
        <w:t xml:space="preserve"> </w:t>
      </w:r>
      <w:r>
        <w:rPr>
          <w:rFonts w:ascii="Arial" w:hAnsi="Arial" w:cs="Arial"/>
          <w:sz w:val="22"/>
          <w:szCs w:val="22"/>
        </w:rPr>
        <w:t xml:space="preserve">CpG </w:t>
      </w:r>
      <w:r w:rsidRPr="003D12A4">
        <w:rPr>
          <w:rFonts w:ascii="Arial" w:hAnsi="Arial" w:cs="Arial"/>
          <w:sz w:val="22"/>
          <w:szCs w:val="22"/>
        </w:rPr>
        <w:t>sites), we estimated the p-value for the resource base effect on DNA methylation levels in our full data set (n = 61 lifelong wild-feeding or Lodge individuals</w:t>
      </w:r>
      <w:r>
        <w:rPr>
          <w:rFonts w:ascii="Arial" w:hAnsi="Arial" w:cs="Arial"/>
          <w:sz w:val="22"/>
          <w:szCs w:val="22"/>
        </w:rPr>
        <w:t>, excluding switching individuals</w:t>
      </w:r>
      <w:r w:rsidRPr="003D12A4">
        <w:rPr>
          <w:rFonts w:ascii="Arial" w:hAnsi="Arial" w:cs="Arial"/>
          <w:sz w:val="22"/>
          <w:szCs w:val="22"/>
        </w:rPr>
        <w:t xml:space="preserve">) and in 16 randomly subsampled data sets of n = 20, 30, 40, or 50 (four replicates </w:t>
      </w:r>
      <w:r>
        <w:rPr>
          <w:rFonts w:ascii="Arial" w:hAnsi="Arial" w:cs="Arial"/>
          <w:sz w:val="22"/>
          <w:szCs w:val="22"/>
        </w:rPr>
        <w:t>for</w:t>
      </w:r>
      <w:r w:rsidRPr="003D12A4">
        <w:rPr>
          <w:rFonts w:ascii="Arial" w:hAnsi="Arial" w:cs="Arial"/>
          <w:sz w:val="22"/>
          <w:szCs w:val="22"/>
        </w:rPr>
        <w:t xml:space="preserve"> each sample size</w:t>
      </w:r>
      <w:r>
        <w:rPr>
          <w:rFonts w:ascii="Arial" w:hAnsi="Arial" w:cs="Arial"/>
          <w:sz w:val="22"/>
          <w:szCs w:val="22"/>
        </w:rPr>
        <w:t>,</w:t>
      </w:r>
      <w:r w:rsidRPr="003D12A4">
        <w:rPr>
          <w:rFonts w:ascii="Arial" w:hAnsi="Arial" w:cs="Arial"/>
          <w:sz w:val="22"/>
          <w:szCs w:val="22"/>
        </w:rPr>
        <w:t xml:space="preserve"> </w:t>
      </w:r>
      <w:r w:rsidRPr="003D12A4">
        <w:rPr>
          <w:rFonts w:ascii="Arial" w:hAnsi="Arial" w:cs="Arial"/>
          <w:sz w:val="22"/>
          <w:szCs w:val="22"/>
        </w:rPr>
        <w:lastRenderedPageBreak/>
        <w:t>balanc</w:t>
      </w:r>
      <w:r>
        <w:rPr>
          <w:rFonts w:ascii="Arial" w:hAnsi="Arial" w:cs="Arial"/>
          <w:sz w:val="22"/>
          <w:szCs w:val="22"/>
        </w:rPr>
        <w:t>ing</w:t>
      </w:r>
      <w:r w:rsidRPr="003D12A4">
        <w:rPr>
          <w:rFonts w:ascii="Arial" w:hAnsi="Arial" w:cs="Arial"/>
          <w:sz w:val="22"/>
          <w:szCs w:val="22"/>
        </w:rPr>
        <w:t xml:space="preserve"> the number of </w:t>
      </w:r>
      <w:r>
        <w:rPr>
          <w:rFonts w:ascii="Arial" w:hAnsi="Arial" w:cs="Arial"/>
          <w:sz w:val="22"/>
          <w:szCs w:val="22"/>
        </w:rPr>
        <w:t xml:space="preserve">Lodge versus wild-feeding </w:t>
      </w:r>
      <w:r w:rsidRPr="003D12A4">
        <w:rPr>
          <w:rFonts w:ascii="Arial" w:hAnsi="Arial" w:cs="Arial"/>
          <w:sz w:val="22"/>
          <w:szCs w:val="22"/>
        </w:rPr>
        <w:t xml:space="preserve">individuals to reflect the </w:t>
      </w:r>
      <w:r>
        <w:rPr>
          <w:rFonts w:ascii="Arial" w:hAnsi="Arial" w:cs="Arial"/>
          <w:sz w:val="22"/>
          <w:szCs w:val="22"/>
        </w:rPr>
        <w:t xml:space="preserve">composition of the </w:t>
      </w:r>
      <w:r w:rsidRPr="003D12A4">
        <w:rPr>
          <w:rFonts w:ascii="Arial" w:hAnsi="Arial" w:cs="Arial"/>
          <w:sz w:val="22"/>
          <w:szCs w:val="22"/>
        </w:rPr>
        <w:t>original data</w:t>
      </w:r>
      <w:r>
        <w:rPr>
          <w:rFonts w:ascii="Arial" w:hAnsi="Arial" w:cs="Arial"/>
          <w:sz w:val="22"/>
          <w:szCs w:val="22"/>
        </w:rPr>
        <w:t xml:space="preserve"> </w:t>
      </w:r>
      <w:r w:rsidRPr="003D12A4">
        <w:rPr>
          <w:rFonts w:ascii="Arial" w:hAnsi="Arial" w:cs="Arial"/>
          <w:sz w:val="22"/>
          <w:szCs w:val="22"/>
        </w:rPr>
        <w:t>set). We model</w:t>
      </w:r>
      <w:r>
        <w:rPr>
          <w:rFonts w:ascii="Arial" w:hAnsi="Arial" w:cs="Arial"/>
          <w:sz w:val="22"/>
          <w:szCs w:val="22"/>
        </w:rPr>
        <w:t>ed resource base effects on DNA methylation levels in the subsampled data sets using the same</w:t>
      </w:r>
      <w:r w:rsidRPr="003D12A4">
        <w:rPr>
          <w:rFonts w:ascii="Arial" w:hAnsi="Arial" w:cs="Arial"/>
          <w:sz w:val="22"/>
          <w:szCs w:val="22"/>
        </w:rPr>
        <w:t xml:space="preserve"> approach described in the main text </w:t>
      </w:r>
      <w:r>
        <w:rPr>
          <w:rFonts w:ascii="Arial" w:hAnsi="Arial" w:cs="Arial"/>
          <w:sz w:val="22"/>
          <w:szCs w:val="22"/>
        </w:rPr>
        <w:t xml:space="preserve">Methods </w:t>
      </w:r>
      <w:r w:rsidRPr="003D12A4">
        <w:rPr>
          <w:rFonts w:ascii="Arial" w:hAnsi="Arial" w:cs="Arial"/>
          <w:sz w:val="22"/>
          <w:szCs w:val="22"/>
        </w:rPr>
        <w:t xml:space="preserve">and </w:t>
      </w:r>
      <w:r>
        <w:rPr>
          <w:rFonts w:ascii="Arial" w:hAnsi="Arial" w:cs="Arial"/>
          <w:sz w:val="22"/>
          <w:szCs w:val="22"/>
        </w:rPr>
        <w:t xml:space="preserve">in the </w:t>
      </w:r>
      <w:r w:rsidRPr="003D12A4">
        <w:rPr>
          <w:rFonts w:ascii="Arial" w:hAnsi="Arial" w:cs="Arial"/>
          <w:sz w:val="22"/>
          <w:szCs w:val="22"/>
        </w:rPr>
        <w:t xml:space="preserve">SI </w:t>
      </w:r>
      <w:r>
        <w:rPr>
          <w:rFonts w:ascii="Arial" w:hAnsi="Arial" w:cs="Arial"/>
          <w:sz w:val="22"/>
          <w:szCs w:val="22"/>
        </w:rPr>
        <w:t>section on</w:t>
      </w:r>
      <w:r w:rsidRPr="003D12A4">
        <w:rPr>
          <w:rFonts w:ascii="Arial" w:hAnsi="Arial" w:cs="Arial"/>
          <w:sz w:val="22"/>
          <w:szCs w:val="22"/>
        </w:rPr>
        <w:t xml:space="preserve"> </w:t>
      </w:r>
      <w:r w:rsidRPr="008D47A7">
        <w:rPr>
          <w:rFonts w:ascii="Arial" w:hAnsi="Arial" w:cs="Arial"/>
          <w:i/>
          <w:sz w:val="22"/>
          <w:szCs w:val="22"/>
        </w:rPr>
        <w:t>Testing for effects of resource base on DNA methylation levels</w:t>
      </w:r>
      <w:r w:rsidRPr="00EF44B1">
        <w:rPr>
          <w:rFonts w:ascii="Arial" w:hAnsi="Arial" w:cs="Arial"/>
          <w:sz w:val="22"/>
          <w:szCs w:val="22"/>
        </w:rPr>
        <w:t xml:space="preserve">. </w:t>
      </w:r>
    </w:p>
    <w:p w14:paraId="285DE1A2" w14:textId="77777777" w:rsidR="000F7048" w:rsidRPr="008D47A7" w:rsidRDefault="000F7048" w:rsidP="000F7048">
      <w:pPr>
        <w:spacing w:line="480" w:lineRule="auto"/>
        <w:ind w:firstLine="720"/>
        <w:rPr>
          <w:rFonts w:ascii="Arial" w:hAnsi="Arial" w:cs="Arial"/>
        </w:rPr>
      </w:pPr>
      <w:r w:rsidRPr="003D12A4">
        <w:rPr>
          <w:rFonts w:ascii="Arial" w:hAnsi="Arial" w:cs="Arial"/>
          <w:sz w:val="22"/>
          <w:szCs w:val="22"/>
        </w:rPr>
        <w:t>Next, we modeled the relationship between sample size and p-value at each site using a power law distribution</w:t>
      </w:r>
      <w:r>
        <w:rPr>
          <w:rFonts w:ascii="Arial" w:hAnsi="Arial" w:cs="Arial"/>
          <w:sz w:val="22"/>
          <w:szCs w:val="22"/>
        </w:rPr>
        <w:t xml:space="preserve"> </w:t>
      </w:r>
      <w:r>
        <w:rPr>
          <w:rFonts w:ascii="Arial" w:hAnsi="Arial" w:cs="Arial"/>
          <w:sz w:val="22"/>
          <w:szCs w:val="22"/>
        </w:rPr>
        <w:fldChar w:fldCharType="begin" w:fldLock="1"/>
      </w:r>
      <w:r w:rsidR="00F43643">
        <w:rPr>
          <w:rFonts w:ascii="Arial" w:hAnsi="Arial" w:cs="Arial"/>
          <w:sz w:val="22"/>
          <w:szCs w:val="22"/>
        </w:rPr>
        <w:instrText>ADDIN CSL_CITATION { "citationItems" : [ { "id" : "ITEM-1", "itemData" : { "DOI" : "10.1089/106652703321825928", "ISBN" : "1066-5277", "ISSN" : "1066-5277", "PMID" : "12804087", "abstract" : "A statistical methodology for estimating dataset size requirements for classifying microarray data using learning curves is introduced. The goal is to use existing classification results to estimate dataset size requirements for future classification experiments and to evaluate the gain in accuracy and significance of classifiers built with additional data. The method is based on fitting inverse power-law models to construct empirical learning curves. It also includes a permutation test procedure to assess the statistical significance of classification performance for a given dataset size. This procedure is applied to several molecular classification problems representing a broad spectrum of levels of complexity.", "author" : [ { "dropping-particle" : "", "family" : "Mukherjee", "given" : "Sayan", "non-dropping-particle" : "", "parse-names" : false, "suffix" : "" }, { "dropping-particle" : "", "family" : "Tamayo", "given" : "Pablo", "non-dropping-particle" : "", "parse-names" : false, "suffix" : "" }, { "dropping-particle" : "", "family" : "Rogers", "given" : "Simon", "non-dropping-particle" : "", "parse-names" : false, "suffix" : "" }, { "dropping-particle" : "", "family" : "Rifkin", "given" : "Ryan", "non-dropping-particle" : "", "parse-names" : false, "suffix" : "" }, { "dropping-particle" : "", "family" : "Engle", "given" : "Anna", "non-dropping-particle" : "", "parse-names" : false, "suffix" : "" }, { "dropping-particle" : "", "family" : "Campbell", "given" : "Colin", "non-dropping-particle" : "", "parse-names" : false, "suffix" : "" }, { "dropping-particle" : "", "family" : "Golub", "given" : "Todd R", "non-dropping-particle" : "", "parse-names" : false, "suffix" : "" }, { "dropping-particle" : "", "family" : "Mesirov", "given" : "Jill P", "non-dropping-particle" : "", "parse-names" : false, "suffix" : "" } ], "container-title" : "Journal of computational biology : a journal of computational molecular cell biology", "id" : "ITEM-1", "issue" : "2", "issued" : { "date-parts" : [ [ "2003" ] ] }, "page" : "119-142", "title" : "Estimating dataset size requirements for classifying DNA microarray data.", "type" : "article-journal", "volume" : "10" }, "uris" : [ "http://www.mendeley.com/documents/?uuid=2954d614-7797-4f52-bacb-4bdd37cf713b" ] } ], "mendeley" : { "formattedCitation" : "[8]", "manualFormatting" : "(as described in Mukherjee et al. 2003)", "plainTextFormattedCitation" : "[8]", "previouslyFormattedCitation" : "[8]" }, "properties" : { "noteIndex" : 0 }, "schema" : "https://github.com/citation-style-language/schema/raw/master/csl-citation.json" }</w:instrText>
      </w:r>
      <w:r>
        <w:rPr>
          <w:rFonts w:ascii="Arial" w:hAnsi="Arial" w:cs="Arial"/>
          <w:sz w:val="22"/>
          <w:szCs w:val="22"/>
        </w:rPr>
        <w:fldChar w:fldCharType="separate"/>
      </w:r>
      <w:r w:rsidRPr="0030255F">
        <w:rPr>
          <w:rFonts w:ascii="Arial" w:hAnsi="Arial" w:cs="Arial"/>
          <w:noProof/>
          <w:sz w:val="22"/>
          <w:szCs w:val="22"/>
        </w:rPr>
        <w:t>(</w:t>
      </w:r>
      <w:r>
        <w:rPr>
          <w:rFonts w:ascii="Arial" w:hAnsi="Arial" w:cs="Arial"/>
          <w:noProof/>
          <w:sz w:val="22"/>
          <w:szCs w:val="22"/>
        </w:rPr>
        <w:t xml:space="preserve">as described in </w:t>
      </w:r>
      <w:r w:rsidRPr="0030255F">
        <w:rPr>
          <w:rFonts w:ascii="Arial" w:hAnsi="Arial" w:cs="Arial"/>
          <w:noProof/>
          <w:sz w:val="22"/>
          <w:szCs w:val="22"/>
        </w:rPr>
        <w:t xml:space="preserve">Mukherjee </w:t>
      </w:r>
      <w:r w:rsidRPr="0030255F">
        <w:rPr>
          <w:rFonts w:ascii="Arial" w:hAnsi="Arial" w:cs="Arial"/>
          <w:i/>
          <w:noProof/>
          <w:sz w:val="22"/>
          <w:szCs w:val="22"/>
        </w:rPr>
        <w:t>et al.</w:t>
      </w:r>
      <w:r w:rsidRPr="0030255F">
        <w:rPr>
          <w:rFonts w:ascii="Arial" w:hAnsi="Arial" w:cs="Arial"/>
          <w:noProof/>
          <w:sz w:val="22"/>
          <w:szCs w:val="22"/>
        </w:rPr>
        <w:t xml:space="preserve"> 2003)</w:t>
      </w:r>
      <w:r>
        <w:rPr>
          <w:rFonts w:ascii="Arial" w:hAnsi="Arial" w:cs="Arial"/>
          <w:sz w:val="22"/>
          <w:szCs w:val="22"/>
        </w:rPr>
        <w:fldChar w:fldCharType="end"/>
      </w:r>
      <w:r w:rsidRPr="00956791">
        <w:rPr>
          <w:rFonts w:ascii="Arial" w:hAnsi="Arial" w:cs="Arial"/>
          <w:sz w:val="22"/>
          <w:szCs w:val="22"/>
        </w:rPr>
        <w:t>. For sites truly associated with resource base, we expect an inverse relationship between sample size and significance</w:t>
      </w:r>
      <w:r>
        <w:rPr>
          <w:rFonts w:ascii="Arial" w:hAnsi="Arial" w:cs="Arial"/>
          <w:sz w:val="22"/>
          <w:szCs w:val="22"/>
        </w:rPr>
        <w:t xml:space="preserve"> (the larger the sample, the lower the p-value).</w:t>
      </w:r>
      <w:r w:rsidRPr="00956791">
        <w:rPr>
          <w:rFonts w:ascii="Arial" w:hAnsi="Arial" w:cs="Arial"/>
          <w:sz w:val="22"/>
          <w:szCs w:val="22"/>
        </w:rPr>
        <w:t xml:space="preserve"> </w:t>
      </w:r>
      <w:r>
        <w:rPr>
          <w:rFonts w:ascii="Arial" w:hAnsi="Arial" w:cs="Arial"/>
          <w:sz w:val="22"/>
          <w:szCs w:val="22"/>
        </w:rPr>
        <w:t>W</w:t>
      </w:r>
      <w:r w:rsidRPr="00956791">
        <w:rPr>
          <w:rFonts w:ascii="Arial" w:hAnsi="Arial" w:cs="Arial"/>
          <w:sz w:val="22"/>
          <w:szCs w:val="22"/>
        </w:rPr>
        <w:t xml:space="preserve">e </w:t>
      </w:r>
      <w:r>
        <w:rPr>
          <w:rFonts w:ascii="Arial" w:hAnsi="Arial" w:cs="Arial"/>
          <w:sz w:val="22"/>
          <w:szCs w:val="22"/>
        </w:rPr>
        <w:t>considered</w:t>
      </w:r>
      <w:r w:rsidRPr="00956791">
        <w:rPr>
          <w:rFonts w:ascii="Arial" w:hAnsi="Arial" w:cs="Arial"/>
          <w:sz w:val="22"/>
          <w:szCs w:val="22"/>
        </w:rPr>
        <w:t xml:space="preserve"> </w:t>
      </w:r>
      <w:r w:rsidRPr="005E5491">
        <w:rPr>
          <w:rFonts w:ascii="Arial" w:hAnsi="Arial" w:cs="Arial"/>
          <w:sz w:val="22"/>
          <w:szCs w:val="22"/>
        </w:rPr>
        <w:t xml:space="preserve">sites that </w:t>
      </w:r>
      <w:r>
        <w:rPr>
          <w:rFonts w:ascii="Arial" w:hAnsi="Arial" w:cs="Arial"/>
          <w:sz w:val="22"/>
          <w:szCs w:val="22"/>
        </w:rPr>
        <w:t>met</w:t>
      </w:r>
      <w:r w:rsidRPr="005E5491">
        <w:rPr>
          <w:rFonts w:ascii="Arial" w:hAnsi="Arial" w:cs="Arial"/>
          <w:sz w:val="22"/>
          <w:szCs w:val="22"/>
        </w:rPr>
        <w:t xml:space="preserve"> this criteri</w:t>
      </w:r>
      <w:r>
        <w:rPr>
          <w:rFonts w:ascii="Arial" w:hAnsi="Arial" w:cs="Arial"/>
          <w:sz w:val="22"/>
          <w:szCs w:val="22"/>
        </w:rPr>
        <w:t>on</w:t>
      </w:r>
      <w:r w:rsidRPr="005E5491">
        <w:rPr>
          <w:rFonts w:ascii="Arial" w:hAnsi="Arial" w:cs="Arial"/>
          <w:sz w:val="22"/>
          <w:szCs w:val="22"/>
        </w:rPr>
        <w:t xml:space="preserve"> as putative true positives, and estimated the p-value</w:t>
      </w:r>
      <w:r>
        <w:rPr>
          <w:rFonts w:ascii="Arial" w:hAnsi="Arial" w:cs="Arial"/>
          <w:sz w:val="22"/>
          <w:szCs w:val="22"/>
        </w:rPr>
        <w:t>s</w:t>
      </w:r>
      <w:r w:rsidRPr="005E5491">
        <w:rPr>
          <w:rFonts w:ascii="Arial" w:hAnsi="Arial" w:cs="Arial"/>
          <w:sz w:val="22"/>
          <w:szCs w:val="22"/>
        </w:rPr>
        <w:t xml:space="preserve"> we would observe at these sites </w:t>
      </w:r>
      <w:r>
        <w:rPr>
          <w:rFonts w:ascii="Arial" w:hAnsi="Arial" w:cs="Arial"/>
          <w:sz w:val="22"/>
          <w:szCs w:val="22"/>
        </w:rPr>
        <w:t>given</w:t>
      </w:r>
      <w:r w:rsidRPr="005E5491">
        <w:rPr>
          <w:rFonts w:ascii="Arial" w:hAnsi="Arial" w:cs="Arial"/>
          <w:sz w:val="22"/>
          <w:szCs w:val="22"/>
        </w:rPr>
        <w:t xml:space="preserve"> data</w:t>
      </w:r>
      <w:r>
        <w:rPr>
          <w:rFonts w:ascii="Arial" w:hAnsi="Arial" w:cs="Arial"/>
          <w:sz w:val="22"/>
          <w:szCs w:val="22"/>
        </w:rPr>
        <w:t xml:space="preserve"> </w:t>
      </w:r>
      <w:r w:rsidRPr="005E5491">
        <w:rPr>
          <w:rFonts w:ascii="Arial" w:hAnsi="Arial" w:cs="Arial"/>
          <w:sz w:val="22"/>
          <w:szCs w:val="22"/>
        </w:rPr>
        <w:t>sets of increasing sample size</w:t>
      </w:r>
      <w:r w:rsidRPr="00977531">
        <w:rPr>
          <w:rFonts w:ascii="Arial" w:hAnsi="Arial" w:cs="Arial"/>
          <w:sz w:val="22"/>
          <w:szCs w:val="22"/>
        </w:rPr>
        <w:t xml:space="preserve">. In contrast, we </w:t>
      </w:r>
      <w:r>
        <w:rPr>
          <w:rFonts w:ascii="Arial" w:hAnsi="Arial" w:cs="Arial"/>
          <w:sz w:val="22"/>
          <w:szCs w:val="22"/>
        </w:rPr>
        <w:t>considered</w:t>
      </w:r>
      <w:r w:rsidRPr="00977531">
        <w:rPr>
          <w:rFonts w:ascii="Arial" w:hAnsi="Arial" w:cs="Arial"/>
          <w:sz w:val="22"/>
          <w:szCs w:val="22"/>
        </w:rPr>
        <w:t xml:space="preserve"> sites that showed no relationship between sample size and significance </w:t>
      </w:r>
      <w:r>
        <w:rPr>
          <w:rFonts w:ascii="Arial" w:hAnsi="Arial" w:cs="Arial"/>
          <w:sz w:val="22"/>
          <w:szCs w:val="22"/>
        </w:rPr>
        <w:t>to be</w:t>
      </w:r>
      <w:r w:rsidRPr="00977531">
        <w:rPr>
          <w:rFonts w:ascii="Arial" w:hAnsi="Arial" w:cs="Arial"/>
          <w:sz w:val="22"/>
          <w:szCs w:val="22"/>
        </w:rPr>
        <w:t xml:space="preserve"> putative </w:t>
      </w:r>
      <w:r w:rsidRPr="00602FEC">
        <w:rPr>
          <w:rFonts w:ascii="Arial" w:hAnsi="Arial" w:cs="Arial"/>
          <w:sz w:val="22"/>
          <w:szCs w:val="22"/>
        </w:rPr>
        <w:t>true negatives. Finally, we predicted our power to detect the total set of putative true positive sites at a 10% FDR in data</w:t>
      </w:r>
      <w:r>
        <w:rPr>
          <w:rFonts w:ascii="Arial" w:hAnsi="Arial" w:cs="Arial"/>
          <w:sz w:val="22"/>
          <w:szCs w:val="22"/>
        </w:rPr>
        <w:t xml:space="preserve"> </w:t>
      </w:r>
      <w:r w:rsidRPr="00602FEC">
        <w:rPr>
          <w:rFonts w:ascii="Arial" w:hAnsi="Arial" w:cs="Arial"/>
          <w:sz w:val="22"/>
          <w:szCs w:val="22"/>
        </w:rPr>
        <w:t>sets of</w:t>
      </w:r>
      <w:r w:rsidRPr="004A0FB9">
        <w:rPr>
          <w:rFonts w:ascii="Arial" w:hAnsi="Arial" w:cs="Arial"/>
          <w:sz w:val="22"/>
          <w:szCs w:val="22"/>
        </w:rPr>
        <w:t xml:space="preserve"> increasing sample size. </w:t>
      </w:r>
      <w:r>
        <w:rPr>
          <w:rFonts w:ascii="Arial" w:hAnsi="Arial" w:cs="Arial"/>
          <w:sz w:val="22"/>
          <w:szCs w:val="22"/>
        </w:rPr>
        <w:t xml:space="preserve">The results of this analysis (Figure S8) show that we are underpowered to detect all true resource base-associated sites in our current data set at a 10% FDR. Specifically, they suggest that we detected ~9% of putative true positive sites with relatively large effects (sites that fall in the upper 25% of the effect size distribution) and probably none of the true positive sites with small effect sizes (bottom 25% of the effect size distribution). </w:t>
      </w:r>
    </w:p>
    <w:p w14:paraId="34A5DCDE" w14:textId="77777777" w:rsidR="000F7048" w:rsidRPr="004736A5" w:rsidRDefault="000F7048" w:rsidP="000F7048">
      <w:pPr>
        <w:pStyle w:val="Heading1"/>
        <w:rPr>
          <w:bCs w:val="0"/>
        </w:rPr>
      </w:pPr>
      <w:bookmarkStart w:id="11" w:name="_Toc306792078"/>
      <w:bookmarkStart w:id="12" w:name="_Toc306797749"/>
      <w:r w:rsidRPr="004736A5">
        <w:t>Testing for cell type heterogeneity-related confounds</w:t>
      </w:r>
      <w:bookmarkEnd w:id="9"/>
      <w:bookmarkEnd w:id="11"/>
      <w:bookmarkEnd w:id="12"/>
      <w:r w:rsidRPr="004736A5">
        <w:t xml:space="preserve"> </w:t>
      </w:r>
    </w:p>
    <w:p w14:paraId="5A170265" w14:textId="77777777" w:rsidR="000F7048" w:rsidRPr="004736A5" w:rsidRDefault="000F7048" w:rsidP="000F7048">
      <w:pPr>
        <w:spacing w:line="480" w:lineRule="auto"/>
        <w:rPr>
          <w:rFonts w:ascii="Arial" w:hAnsi="Arial" w:cs="Arial"/>
          <w:sz w:val="22"/>
          <w:szCs w:val="22"/>
        </w:rPr>
      </w:pPr>
      <w:r w:rsidRPr="004736A5">
        <w:rPr>
          <w:rFonts w:ascii="Arial" w:hAnsi="Arial" w:cs="Arial"/>
          <w:sz w:val="22"/>
          <w:szCs w:val="22"/>
        </w:rPr>
        <w:tab/>
        <w:t xml:space="preserve">Our analyses focused on DNA methylation levels in whole blood, which is composed of several cell types with distinct DNA methylation profiles </w:t>
      </w:r>
      <w:r w:rsidRPr="004736A5">
        <w:rPr>
          <w:rFonts w:ascii="Arial" w:hAnsi="Arial" w:cs="Arial"/>
          <w:sz w:val="22"/>
          <w:szCs w:val="22"/>
        </w:rPr>
        <w:fldChar w:fldCharType="begin" w:fldLock="1"/>
      </w:r>
      <w:r w:rsidR="00F43643">
        <w:rPr>
          <w:rFonts w:ascii="Arial" w:hAnsi="Arial" w:cs="Arial"/>
          <w:sz w:val="22"/>
          <w:szCs w:val="22"/>
        </w:rPr>
        <w:instrText>ADDIN CSL_CITATION { "citationItems" : [ { "id" : "ITEM-1", "itemData" : { "DOI" : "10.1371/journal.pone.0041361", "ISSN" : "1932-6203", "PMID" : "22848472", "abstract" : "Methylation of cytosines at CpG sites is a common epigenetic DNA modification that can be measured by a large number of methods, now even in a genome-wide manner for hundreds of thousands of sites. The application of DNA methylation analysis is becoming widely popular in complex disorders, for example, to understand part of the \"missing heritability\". The DNA samples most readily available for methylation studies are derived from whole blood. However, blood consists of many functionally and developmentally distinct cell populations in varying proportions. We studied whether such variation might affect the interpretation of methylation studies based on whole blood DNA. We found in healthy male blood donors there is important variation in the methylation profiles of whole blood, mononuclear cells, granulocytes, and cells from seven selected purified lineages. CpG methylation between mononuclear cells and granulocytes differed for 22% of the 8252 probes covering the selected 343 genes implicated in immune-related disorders by genome-wide association studies, and at least one probe was differentially methylated for 85% of the genes, indicating that whole blood methylation results might be unintelligible. For individual genes, even if the overall methylation patterns might appear similar, a few CpG sites in the regulatory regions may have opposite methylation patterns (i.e., hypo/hyper) in the main blood cell types. We conclude that interpretation of whole blood methylation profiles should be performed with great caution and for any differences implicated in a disorder, the differences resulting from varying proportions of white blood cell types should be considered.", "author" : [ { "dropping-particle" : "", "family" : "Reinius", "given" : "Lovisa E", "non-dropping-particle" : "", "parse-names" : false, "suffix" : "" }, { "dropping-particle" : "", "family" : "Acevedo", "given" : "Nathalie", "non-dropping-particle" : "", "parse-names" : false, "suffix" : "" }, { "dropping-particle" : "", "family" : "Joerink", "given" : "Maaike", "non-dropping-particle" : "", "parse-names" : false, "suffix" : "" }, { "dropping-particle" : "", "family" : "Pershagen", "given" : "G\u00f6ran", "non-dropping-particle" : "", "parse-names" : false, "suffix" : "" }, { "dropping-particle" : "", "family" : "Dahl\u00e9n", "given" : "Sven-Erik", "non-dropping-particle" : "", "parse-names" : false, "suffix" : "" }, { "dropping-particle" : "", "family" : "Greco", "given" : "Dario", "non-dropping-particle" : "", "parse-names" : false, "suffix" : "" }, { "dropping-particle" : "", "family" : "S\u00f6derh\u00e4ll", "given" : "Cilla", "non-dropping-particle" : "", "parse-names" : false, "suffix" : "" }, { "dropping-particle" : "", "family" : "Scheynius", "given" : "Annika", "non-dropping-particle" : "", "parse-names" : false, "suffix" : "" }, { "dropping-particle" : "", "family" : "Kere", "given" : "Juha", "non-dropping-particle" : "", "parse-names" : false, "suffix" : "" } ], "container-title" : "PloS One", "id" : "ITEM-1", "issue" : "7", "issued" : { "date-parts" : [ [ "2012", "1" ] ] }, "page" : "e41361", "title" : "Differential DNA methylation in purified human blood cells: implications for cell lineage and studies on disease susceptibility.", "type" : "article-journal", "volume" : "7" }, "uris" : [ "http://www.mendeley.com/documents/?uuid=2ab25f13-131a-4014-9db3-03180ca7f4bd" ] } ], "mendeley" : { "formattedCitation" : "[9]", "plainTextFormattedCitation" : "[9]", "previouslyFormattedCitation" : "[9]" }, "properties" : { "noteIndex" : 0 }, "schema" : "https://github.com/citation-style-language/schema/raw/master/csl-citation.json" }</w:instrText>
      </w:r>
      <w:r w:rsidRPr="004736A5">
        <w:rPr>
          <w:rFonts w:ascii="Arial" w:hAnsi="Arial" w:cs="Arial"/>
          <w:sz w:val="22"/>
          <w:szCs w:val="22"/>
        </w:rPr>
        <w:fldChar w:fldCharType="separate"/>
      </w:r>
      <w:r w:rsidR="00F43643" w:rsidRPr="00F43643">
        <w:rPr>
          <w:rFonts w:ascii="Arial" w:hAnsi="Arial" w:cs="Arial"/>
          <w:noProof/>
          <w:sz w:val="22"/>
          <w:szCs w:val="22"/>
        </w:rPr>
        <w:t>[9]</w:t>
      </w:r>
      <w:r w:rsidRPr="004736A5">
        <w:rPr>
          <w:rFonts w:ascii="Arial" w:hAnsi="Arial" w:cs="Arial"/>
          <w:sz w:val="22"/>
          <w:szCs w:val="22"/>
        </w:rPr>
        <w:fldChar w:fldCharType="end"/>
      </w:r>
      <w:r w:rsidRPr="004736A5">
        <w:rPr>
          <w:rFonts w:ascii="Arial" w:hAnsi="Arial" w:cs="Arial"/>
          <w:sz w:val="22"/>
          <w:szCs w:val="22"/>
        </w:rPr>
        <w:t xml:space="preserve">. Thus, if cell type composition consistently differed between blood samples collected from Lodge versus wild-feeding animals, differentially methylated sites could reflect these differences rather than changes in DNA methylation levels within cells. To investigate this possibility, we used two complementary approaches. First, we measured cell type proportions from wild-feeding animals (n = 25, including 6 animals for whom we also collected DNA methylation data) and Lodge group </w:t>
      </w:r>
      <w:r w:rsidRPr="004736A5">
        <w:rPr>
          <w:rFonts w:ascii="Arial" w:hAnsi="Arial" w:cs="Arial"/>
          <w:sz w:val="22"/>
          <w:szCs w:val="22"/>
        </w:rPr>
        <w:lastRenderedPageBreak/>
        <w:t xml:space="preserve">animals (n = 15, including 5 animals for whom we also collected DNA methylation data) based on manual counts of Giemsa-stained blood smears collected at the time of blood sample collection. These counts resulted in estimates of the proportional representation of eosinophils, basophils, neutrophils, lymphocytes, and monocytes for baboons in both resource conditions. We then used generalized linear models with a binomial link function (implemented in R via ‘glm’) to test the hypothesis that foraging group influenced these proportions, controlling for the effects of age, sex, and the identity of the person who counted the blood smear. We found that, for all cell types tested, there was no significant differences in abundance between wild-feeding and Lodge individuals (all p &gt; 0.05, Figure S10). </w:t>
      </w:r>
    </w:p>
    <w:p w14:paraId="3FC3BD0D" w14:textId="77777777" w:rsidR="000F7048" w:rsidRPr="004736A5" w:rsidRDefault="000F7048" w:rsidP="000F7048">
      <w:pPr>
        <w:spacing w:line="480" w:lineRule="auto"/>
        <w:rPr>
          <w:rFonts w:ascii="Arial" w:hAnsi="Arial" w:cs="Arial"/>
          <w:sz w:val="22"/>
          <w:szCs w:val="22"/>
        </w:rPr>
      </w:pPr>
      <w:r w:rsidRPr="004736A5">
        <w:rPr>
          <w:rFonts w:ascii="Arial" w:hAnsi="Arial" w:cs="Arial"/>
          <w:sz w:val="22"/>
          <w:szCs w:val="22"/>
        </w:rPr>
        <w:tab/>
        <w:t>Second, we drew on publicly available DNA methylation data generated from pure populations of CD4</w:t>
      </w:r>
      <w:r w:rsidRPr="004736A5">
        <w:rPr>
          <w:rFonts w:ascii="Arial" w:hAnsi="Arial" w:cs="Arial"/>
          <w:sz w:val="22"/>
          <w:szCs w:val="22"/>
          <w:vertAlign w:val="superscript"/>
        </w:rPr>
        <w:t>+</w:t>
      </w:r>
      <w:r w:rsidRPr="004736A5">
        <w:rPr>
          <w:rFonts w:ascii="Arial" w:hAnsi="Arial" w:cs="Arial"/>
          <w:sz w:val="22"/>
          <w:szCs w:val="22"/>
        </w:rPr>
        <w:t xml:space="preserve"> (helper) T cells, CD8</w:t>
      </w:r>
      <w:r w:rsidRPr="004736A5">
        <w:rPr>
          <w:rFonts w:ascii="Arial" w:hAnsi="Arial" w:cs="Arial"/>
          <w:sz w:val="22"/>
          <w:szCs w:val="22"/>
          <w:vertAlign w:val="superscript"/>
        </w:rPr>
        <w:t xml:space="preserve">+ </w:t>
      </w:r>
      <w:r w:rsidRPr="004736A5">
        <w:rPr>
          <w:rFonts w:ascii="Arial" w:hAnsi="Arial" w:cs="Arial"/>
          <w:sz w:val="22"/>
          <w:szCs w:val="22"/>
        </w:rPr>
        <w:t xml:space="preserve">(cytotoxic) T cells, natural killer cells, B cells, monocytes, and granulocytes from human whole blood </w:t>
      </w:r>
      <w:r w:rsidRPr="004736A5">
        <w:rPr>
          <w:rFonts w:ascii="Arial" w:hAnsi="Arial" w:cs="Arial"/>
          <w:sz w:val="22"/>
          <w:szCs w:val="22"/>
        </w:rPr>
        <w:fldChar w:fldCharType="begin" w:fldLock="1"/>
      </w:r>
      <w:r w:rsidR="00F43643">
        <w:rPr>
          <w:rFonts w:ascii="Arial" w:hAnsi="Arial" w:cs="Arial"/>
          <w:sz w:val="22"/>
          <w:szCs w:val="22"/>
        </w:rPr>
        <w:instrText>ADDIN CSL_CITATION { "citationItems" : [ { "id" : "ITEM-1", "itemData" : { "author" : [ { "dropping-particle" : "", "family" : "Jaffe", "given" : "Andrew E", "non-dropping-particle" : "", "parse-names" : false, "suffix" : "" } ], "id" : "ITEM-1", "issued" : { "date-parts" : [ [ "2015" ] ] }, "title" : "FlowSorted.Blood.450k: Illumina HumanMethylation data on sorted blood cell populations. R package version 1.5.1.", "type" : "article" }, "uris" : [ "http://www.mendeley.com/documents/?uuid=c20d134b-c229-4a81-b333-3c60bb2bde69" ] } ], "mendeley" : { "formattedCitation" : "[10]", "plainTextFormattedCitation" : "[10]", "previouslyFormattedCitation" : "[10]" }, "properties" : { "noteIndex" : 0 }, "schema" : "https://github.com/citation-style-language/schema/raw/master/csl-citation.json" }</w:instrText>
      </w:r>
      <w:r w:rsidRPr="004736A5">
        <w:rPr>
          <w:rFonts w:ascii="Arial" w:hAnsi="Arial" w:cs="Arial"/>
          <w:sz w:val="22"/>
          <w:szCs w:val="22"/>
        </w:rPr>
        <w:fldChar w:fldCharType="separate"/>
      </w:r>
      <w:r w:rsidR="00F43643" w:rsidRPr="00F43643">
        <w:rPr>
          <w:rFonts w:ascii="Arial" w:hAnsi="Arial" w:cs="Arial"/>
          <w:noProof/>
          <w:sz w:val="22"/>
          <w:szCs w:val="22"/>
        </w:rPr>
        <w:t>[10]</w:t>
      </w:r>
      <w:r w:rsidRPr="004736A5">
        <w:rPr>
          <w:rFonts w:ascii="Arial" w:hAnsi="Arial" w:cs="Arial"/>
          <w:sz w:val="22"/>
          <w:szCs w:val="22"/>
        </w:rPr>
        <w:fldChar w:fldCharType="end"/>
      </w:r>
      <w:r w:rsidRPr="004736A5">
        <w:rPr>
          <w:rFonts w:ascii="Arial" w:hAnsi="Arial" w:cs="Arial"/>
          <w:sz w:val="22"/>
          <w:szCs w:val="22"/>
        </w:rPr>
        <w:t xml:space="preserve">. Because these data were generated on Illumina 450K Infinium arrays, relatively few CpG sites overlapped with our data set. However, for the 7,425 CpG sites that were profiled in both the Jaffe data set and in our samples, we were able to ask whether sites associated with resource base in our analysis (at a 10% FDR) were more likely to be differentially methylated between cell types than expected by chance, using a Fisher’s Exact Test. We considered a CpG site to be differentially methylated by cell type if (i) a significant (10% FDR) difference among cell types was reported by </w:t>
      </w:r>
      <w:r w:rsidRPr="004736A5">
        <w:rPr>
          <w:rFonts w:ascii="Arial" w:hAnsi="Arial" w:cs="Arial"/>
          <w:sz w:val="22"/>
          <w:szCs w:val="22"/>
        </w:rPr>
        <w:fldChar w:fldCharType="begin" w:fldLock="1"/>
      </w:r>
      <w:r w:rsidR="00F43643">
        <w:rPr>
          <w:rFonts w:ascii="Arial" w:hAnsi="Arial" w:cs="Arial"/>
          <w:sz w:val="22"/>
          <w:szCs w:val="22"/>
        </w:rPr>
        <w:instrText>ADDIN CSL_CITATION { "citationItems" : [ { "id" : "ITEM-1", "itemData" : { "author" : [ { "dropping-particle" : "", "family" : "Jaffe", "given" : "Andrew E", "non-dropping-particle" : "", "parse-names" : false, "suffix" : "" } ], "id" : "ITEM-1", "issued" : { "date-parts" : [ [ "2015" ] ] }, "title" : "FlowSorted.Blood.450k: Illumina HumanMethylation data on sorted blood cell populations. R package version 1.5.1.", "type" : "article" }, "uris" : [ "http://www.mendeley.com/documents/?uuid=c20d134b-c229-4a81-b333-3c60bb2bde69" ] } ], "mendeley" : { "formattedCitation" : "[10]", "manualFormatting" : "Jaffe 2015", "plainTextFormattedCitation" : "[10]", "previouslyFormattedCitation" : "[10]" }, "properties" : { "noteIndex" : 0 }, "schema" : "https://github.com/citation-style-language/schema/raw/master/csl-citation.json" }</w:instrText>
      </w:r>
      <w:r w:rsidRPr="004736A5">
        <w:rPr>
          <w:rFonts w:ascii="Arial" w:hAnsi="Arial" w:cs="Arial"/>
          <w:sz w:val="22"/>
          <w:szCs w:val="22"/>
        </w:rPr>
        <w:fldChar w:fldCharType="separate"/>
      </w:r>
      <w:r w:rsidRPr="004736A5">
        <w:rPr>
          <w:rFonts w:ascii="Arial" w:hAnsi="Arial" w:cs="Arial"/>
          <w:noProof/>
          <w:sz w:val="22"/>
          <w:szCs w:val="22"/>
        </w:rPr>
        <w:t>Jaffe 2015</w:t>
      </w:r>
      <w:r w:rsidRPr="004736A5">
        <w:rPr>
          <w:rFonts w:ascii="Arial" w:hAnsi="Arial" w:cs="Arial"/>
          <w:sz w:val="22"/>
          <w:szCs w:val="22"/>
        </w:rPr>
        <w:fldChar w:fldCharType="end"/>
      </w:r>
      <w:r w:rsidRPr="004736A5">
        <w:rPr>
          <w:rFonts w:ascii="Arial" w:hAnsi="Arial" w:cs="Arial"/>
          <w:sz w:val="22"/>
          <w:szCs w:val="22"/>
        </w:rPr>
        <w:t xml:space="preserve"> (using an ANOVA), and (ii) average DNA methylation levels differed by at least 10% between the two most prevalent cell types (granulocytes and CD4</w:t>
      </w:r>
      <w:r w:rsidRPr="004736A5">
        <w:rPr>
          <w:rFonts w:ascii="Arial" w:hAnsi="Arial" w:cs="Arial"/>
          <w:sz w:val="22"/>
          <w:szCs w:val="22"/>
          <w:vertAlign w:val="superscript"/>
        </w:rPr>
        <w:t>+</w:t>
      </w:r>
      <w:r w:rsidRPr="004736A5">
        <w:rPr>
          <w:rFonts w:ascii="Arial" w:hAnsi="Arial" w:cs="Arial"/>
          <w:sz w:val="22"/>
          <w:szCs w:val="22"/>
        </w:rPr>
        <w:t xml:space="preserve"> T cells, which together account for greater than two-thirds of nucleated human blood cells on average </w:t>
      </w:r>
      <w:r w:rsidRPr="004736A5">
        <w:rPr>
          <w:rFonts w:ascii="Arial" w:hAnsi="Arial" w:cs="Arial"/>
          <w:sz w:val="22"/>
          <w:szCs w:val="22"/>
        </w:rPr>
        <w:fldChar w:fldCharType="begin" w:fldLock="1"/>
      </w:r>
      <w:r w:rsidR="00F43643">
        <w:rPr>
          <w:rFonts w:ascii="Arial" w:hAnsi="Arial" w:cs="Arial"/>
          <w:sz w:val="22"/>
          <w:szCs w:val="22"/>
        </w:rPr>
        <w:instrText>ADDIN CSL_CITATION { "citationItems" : [ { "id" : "ITEM-1", "itemData" : { "DOI" : "10.1186/gb-2014-15-2-r31", "ISBN" : "1465-6914 (Electronic)\\r1465-6906 (Linking)", "ISSN" : "1465-6914", "PMID" : "24495553", "abstract" : "BACKGROUND: Epigenome-wide association studies of human disease and other quantitative traits are becoming increasingly common. A series of papers reporting age-related changes in DNA methylation profiles in peripheral blood have already been published. However, blood is a heterogeneous collection of different cell types, each with a very different DNA methylation profile.\\n\\nRESULTS: Using a statistical method that permits estimating the relative proportion of cell types from DNA methylation profiles, we examine data from five previously published studies, and find strong evidence of cell composition change across age in blood. We also demonstrate that, in these studies, cellular composition explains much of the observed variability in DNA methylation. Furthermore, we find high levels of confounding between age-related variability and cellular composition at the CpG level.\\n\\nCONCLUSIONS: Our findings underscore the importance of considering cell composition variability in epigenetic studies based on whole blood and other heterogeneous tissue sources. We also provide software for estimating and exploring this composition confounding for the Illumina 450k microarray.", "author" : [ { "dropping-particle" : "", "family" : "Jaffe", "given" : "Andrew E", "non-dropping-particle" : "", "parse-names" : false, "suffix" : "" }, { "dropping-particle" : "", "family" : "Irizarry", "given" : "Rafael a", "non-dropping-particle" : "", "parse-names" : false, "suffix" : "" } ], "container-title" : "Genome Biology", "id" : "ITEM-1", "issue" : "2", "issued" : { "date-parts" : [ [ "2014" ] ] }, "page" : "R31", "title" : "Accounting for cellular heterogeneity is critical in epigenome-wide association studies.", "type" : "article-journal", "volume" : "15" }, "uris" : [ "http://www.mendeley.com/documents/?uuid=a5e12d15-1980-425c-bdcf-3d4dc7416d66" ] } ], "mendeley" : { "formattedCitation" : "[11]", "plainTextFormattedCitation" : "[11]", "previouslyFormattedCitation" : "[11]" }, "properties" : { "noteIndex" : 0 }, "schema" : "https://github.com/citation-style-language/schema/raw/master/csl-citation.json" }</w:instrText>
      </w:r>
      <w:r w:rsidRPr="004736A5">
        <w:rPr>
          <w:rFonts w:ascii="Arial" w:hAnsi="Arial" w:cs="Arial"/>
          <w:sz w:val="22"/>
          <w:szCs w:val="22"/>
        </w:rPr>
        <w:fldChar w:fldCharType="separate"/>
      </w:r>
      <w:r w:rsidR="00F43643" w:rsidRPr="00F43643">
        <w:rPr>
          <w:rFonts w:ascii="Arial" w:hAnsi="Arial" w:cs="Arial"/>
          <w:noProof/>
          <w:sz w:val="22"/>
          <w:szCs w:val="22"/>
        </w:rPr>
        <w:t>[11]</w:t>
      </w:r>
      <w:r w:rsidRPr="004736A5">
        <w:rPr>
          <w:rFonts w:ascii="Arial" w:hAnsi="Arial" w:cs="Arial"/>
          <w:sz w:val="22"/>
          <w:szCs w:val="22"/>
        </w:rPr>
        <w:fldChar w:fldCharType="end"/>
      </w:r>
      <w:r w:rsidRPr="004736A5">
        <w:rPr>
          <w:rFonts w:ascii="Arial" w:hAnsi="Arial" w:cs="Arial"/>
          <w:sz w:val="22"/>
          <w:szCs w:val="22"/>
        </w:rPr>
        <w:t xml:space="preserve">. To explore the sensitivity of our findings to these cutoffs, we also repeated our analysis while varying both the FDR threshold used to identify CpG sites associated with resource base (from 0 to 20%) and the required methylation difference between the two most prevalent cell types (from 0 to 50%). The results of these analyses revealed that CpG sites that exhibit cell-type specific DNA methylation patterns in whole blood were not more likely to be associated with resource base in </w:t>
      </w:r>
      <w:r w:rsidRPr="004736A5">
        <w:rPr>
          <w:rFonts w:ascii="Arial" w:hAnsi="Arial" w:cs="Arial"/>
          <w:sz w:val="22"/>
          <w:szCs w:val="22"/>
        </w:rPr>
        <w:lastRenderedPageBreak/>
        <w:t>our analyses. Further, this result was robust across a range of cutoffs (p &gt; 0.05 for 99.7% of tests).</w:t>
      </w:r>
    </w:p>
    <w:p w14:paraId="533865D3" w14:textId="77777777" w:rsidR="000F7048" w:rsidRPr="004736A5" w:rsidRDefault="000F7048" w:rsidP="000F7048">
      <w:pPr>
        <w:pStyle w:val="Heading1"/>
      </w:pPr>
      <w:bookmarkStart w:id="13" w:name="_Toc297739053"/>
      <w:bookmarkStart w:id="14" w:name="_Toc306792079"/>
      <w:bookmarkStart w:id="15" w:name="_Toc306797750"/>
      <w:r w:rsidRPr="004736A5">
        <w:t>Defining genomic compartments to test for enrichment of differentially methylated sites</w:t>
      </w:r>
      <w:bookmarkEnd w:id="13"/>
      <w:bookmarkEnd w:id="14"/>
      <w:bookmarkEnd w:id="15"/>
    </w:p>
    <w:p w14:paraId="35A74225" w14:textId="77777777" w:rsidR="000F7048" w:rsidRPr="004736A5" w:rsidRDefault="000F7048" w:rsidP="000F7048">
      <w:pPr>
        <w:spacing w:line="480" w:lineRule="auto"/>
        <w:ind w:firstLine="720"/>
        <w:rPr>
          <w:rFonts w:ascii="Arial" w:eastAsia="MS Gothic" w:hAnsi="Arial" w:cs="Arial"/>
          <w:color w:val="000000"/>
          <w:sz w:val="22"/>
          <w:szCs w:val="22"/>
        </w:rPr>
      </w:pPr>
      <w:r w:rsidRPr="004736A5">
        <w:rPr>
          <w:rFonts w:ascii="Arial" w:eastAsia="MS Gothic" w:hAnsi="Arial" w:cs="Arial"/>
          <w:color w:val="000000"/>
          <w:sz w:val="22"/>
          <w:szCs w:val="22"/>
        </w:rPr>
        <w:t>In the main text, we report analyses that investigated the enrichment of resource base- associated sites in functionally coherent genomic compartments</w:t>
      </w:r>
      <w:r>
        <w:rPr>
          <w:rFonts w:ascii="Arial" w:eastAsia="MS Gothic" w:hAnsi="Arial" w:cs="Arial"/>
          <w:color w:val="000000"/>
          <w:sz w:val="22"/>
          <w:szCs w:val="22"/>
        </w:rPr>
        <w:t xml:space="preserve"> (</w:t>
      </w:r>
      <w:r w:rsidRPr="004736A5">
        <w:rPr>
          <w:rFonts w:ascii="Arial" w:eastAsia="MS Gothic" w:hAnsi="Arial" w:cs="Arial"/>
          <w:color w:val="000000"/>
          <w:sz w:val="22"/>
          <w:szCs w:val="22"/>
        </w:rPr>
        <w:t>gene bodies, promoters, CpG islands and shores, enhancers, and regions with no known regulatory function</w:t>
      </w:r>
      <w:r>
        <w:rPr>
          <w:rFonts w:ascii="Arial" w:eastAsia="MS Gothic" w:hAnsi="Arial" w:cs="Arial"/>
          <w:color w:val="000000"/>
          <w:sz w:val="22"/>
          <w:szCs w:val="22"/>
        </w:rPr>
        <w:t xml:space="preserve">, i.e., </w:t>
      </w:r>
      <w:r w:rsidRPr="004736A5">
        <w:rPr>
          <w:rFonts w:ascii="Arial" w:eastAsia="MS Gothic" w:hAnsi="Arial" w:cs="Arial"/>
          <w:color w:val="000000"/>
          <w:sz w:val="22"/>
          <w:szCs w:val="22"/>
        </w:rPr>
        <w:t>unannotated regions). Here, we provide information about how we defined those compartments.</w:t>
      </w:r>
    </w:p>
    <w:p w14:paraId="6CA14DE5" w14:textId="77777777" w:rsidR="000F7048" w:rsidRPr="004736A5" w:rsidRDefault="000F7048" w:rsidP="000F7048">
      <w:pPr>
        <w:spacing w:line="480" w:lineRule="auto"/>
        <w:ind w:firstLine="720"/>
        <w:rPr>
          <w:rFonts w:ascii="Arial" w:eastAsia="MS Gothic" w:hAnsi="Arial" w:cs="Arial"/>
          <w:color w:val="000000"/>
          <w:sz w:val="22"/>
          <w:szCs w:val="22"/>
        </w:rPr>
      </w:pPr>
      <w:r w:rsidRPr="004736A5">
        <w:rPr>
          <w:rFonts w:ascii="Arial" w:eastAsia="MS Gothic" w:hAnsi="Arial" w:cs="Arial"/>
          <w:color w:val="000000"/>
          <w:sz w:val="22"/>
          <w:szCs w:val="22"/>
        </w:rPr>
        <w:t xml:space="preserve">We </w:t>
      </w:r>
      <w:r w:rsidRPr="004736A5">
        <w:rPr>
          <w:rFonts w:ascii="Arial" w:hAnsi="Arial" w:cs="Arial"/>
          <w:sz w:val="22"/>
          <w:szCs w:val="22"/>
        </w:rPr>
        <w:t xml:space="preserve">defined gene bodies as the regions between the 5’-most transcription start site (TSS) and 3’-most transcription end site (TES) of each gene using </w:t>
      </w:r>
      <w:r w:rsidRPr="004736A5">
        <w:rPr>
          <w:rFonts w:ascii="Arial" w:hAnsi="Arial" w:cs="Arial"/>
          <w:i/>
          <w:sz w:val="22"/>
          <w:szCs w:val="22"/>
        </w:rPr>
        <w:t>Panu</w:t>
      </w:r>
      <w:r w:rsidRPr="004736A5">
        <w:rPr>
          <w:rFonts w:ascii="Arial" w:hAnsi="Arial" w:cs="Arial"/>
          <w:sz w:val="22"/>
          <w:szCs w:val="22"/>
        </w:rPr>
        <w:t xml:space="preserve"> 2.0 annotations from Ensembl </w:t>
      </w:r>
      <w:r w:rsidRPr="004736A5">
        <w:rPr>
          <w:rFonts w:ascii="Arial" w:eastAsia="MS Gothic" w:hAnsi="Arial" w:cs="Arial"/>
          <w:color w:val="000000"/>
          <w:sz w:val="22"/>
          <w:szCs w:val="22"/>
        </w:rPr>
        <w:fldChar w:fldCharType="begin" w:fldLock="1"/>
      </w:r>
      <w:r w:rsidR="00F43643">
        <w:rPr>
          <w:rFonts w:ascii="Arial" w:eastAsia="MS Gothic" w:hAnsi="Arial" w:cs="Arial"/>
          <w:color w:val="000000"/>
          <w:sz w:val="22"/>
          <w:szCs w:val="22"/>
        </w:rPr>
        <w:instrText>ADDIN CSL_CITATION { "citationItems" : [ { "id" : "ITEM-1", "itemData" : { "DOI" : "10.1093/nar/gku1010", "ISSN" : "0305-1048", "author" : [ { "dropping-particle" : "", "family" : "Cunningham", "given" : "F.", "non-dropping-particle" : "", "parse-names" : false, "suffix" : "" }, { "dropping-particle" : "", "family" : "Amode", "given" : "M. R.", "non-dropping-particle" : "", "parse-names" : false, "suffix" : "" }, { "dropping-particle" : "", "family" : "Barrell", "given" : "D.", "non-dropping-particle" : "", "parse-names" : false, "suffix" : "" }, { "dropping-particle" : "", "family" : "Beal", "given" : "K.", "non-dropping-particle" : "", "parse-names" : false, "suffix" : "" }, { "dropping-particle" : "", "family" : "Billis", "given" : "K.", "non-dropping-particle" : "", "parse-names" : false, "suffix" : "" }, { "dropping-particle" : "", "family" : "Brent", "given" : "S.", "non-dropping-particle" : "", "parse-names" : false, "suffix" : "" }, { "dropping-particle" : "", "family" : "Carvalho-Silva", "given" : "D.", "non-dropping-particle" : "", "parse-names" : false, "suffix" : "" }, { "dropping-particle" : "", "family" : "Clapham", "given" : "P.", "non-dropping-particle" : "", "parse-names" : false, "suffix" : "" }, { "dropping-particle" : "", "family" : "Coates", "given" : "G.", "non-dropping-particle" : "", "parse-names" : false, "suffix" : "" }, { "dropping-particle" : "", "family" : "Fitzgerald", "given" : "S.", "non-dropping-particle" : "", "parse-names" : false, "suffix" : "" }, { "dropping-particle" : "", "family" : "Gil", "given" : "L.", "non-dropping-particle" : "", "parse-names" : false, "suffix" : "" }, { "dropping-particle" : "", "family" : "Giron", "given" : "C. G.", "non-dropping-particle" : "", "parse-names" : false, "suffix" : "" }, { "dropping-particle" : "", "family" : "Gordon", "given" : "L.", "non-dropping-particle" : "", "parse-names" : false, "suffix" : "" }, { "dropping-particle" : "", "family" : "Hourlier", "given" : "T.", "non-dropping-particle" : "", "parse-names" : false, "suffix" : "" }, { "dropping-particle" : "", "family" : "Hunt", "given" : "S. E.", "non-dropping-particle" : "", "parse-names" : false, "suffix" : "" }, { "dropping-particle" : "", "family" : "Janacek", "given" : "S. H.", "non-dropping-particle" : "", "parse-names" : false, "suffix" : "" }, { "dropping-particle" : "", "family" : "Johnson", "given" : "N.", "non-dropping-particle" : "", "parse-names" : false, "suffix" : "" }, { "dropping-particle" : "", "family" : "Juettemann", "given" : "T.", "non-dropping-particle" : "", "parse-names" : false, "suffix" : "" }, { "dropping-particle" : "", "family" : "Kahari", "given" : "a. K.", "non-dropping-particle" : "", "parse-names" : false, "suffix" : "" }, { "dropping-particle" : "", "family" : "Keenan", "given" : "S.", "non-dropping-particle" : "", "parse-names" : false, "suffix" : "" }, { "dropping-particle" : "", "family" : "Martin", "given" : "F. J.", "non-dropping-particle" : "", "parse-names" : false, "suffix" : "" }, { "dropping-particle" : "", "family" : "Maurel", "given" : "T.", "non-dropping-particle" : "", "parse-names" : false, "suffix" : "" }, { "dropping-particle" : "", "family" : "McLaren", "given" : "W.", "non-dropping-particle" : "", "parse-names" : false, "suffix" : "" }, { "dropping-particle" : "", "family" : "Murphy", "given" : "D. N.", "non-dropping-particle" : "", "parse-names" : false, "suffix" : "" }, { "dropping-particle" : "", "family" : "Nag", "given" : "R.", "non-dropping-particle" : "", "parse-names" : false, "suffix" : "" }, { "dropping-particle" : "", "family" : "Overduin", "given" : "B.", "non-dropping-particle" : "", "parse-names" : false, "suffix" : "" }, { "dropping-particle" : "", "family" : "Parker", "given" : "a.", "non-dropping-particle" : "", "parse-names" : false, "suffix" : "" }, { "dropping-particle" : "", "family" : "Patricio", "given" : "M.", "non-dropping-particle" : "", "parse-names" : false, "suffix" : "" }, { "dropping-particle" : "", "family" : "Perry", "given" : "E.", "non-dropping-particle" : "", "parse-names" : false, "suffix" : "" }, { "dropping-particle" : "", "family" : "Pignatelli", "given" : "M.", "non-dropping-particle" : "", "parse-names" : false, "suffix" : "" }, { "dropping-particle" : "", "family" : "Riat", "given" : "H. S.", "non-dropping-particle" : "", "parse-names" : false, "suffix" : "" }, { "dropping-particle" : "", "family" : "Sheppard", "given" : "D.", "non-dropping-particle" : "", "parse-names" : false, "suffix" : "" }, { "dropping-particle" : "", "family" : "Taylor", "given" : "K.", "non-dropping-particle" : "", "parse-names" : false, "suffix" : "" }, { "dropping-particle" : "", "family" : "Thormann", "given" : "a.", "non-dropping-particle" : "", "parse-names" : false, "suffix" : "" }, { "dropping-particle" : "", "family" : "Vullo", "given" : "a.", "non-dropping-particle" : "", "parse-names" : false, "suffix" : "" }, { "dropping-particle" : "", "family" : "Wilder", "given" : "S. P.", "non-dropping-particle" : "", "parse-names" : false, "suffix" : "" }, { "dropping-particle" : "", "family" : "Zadissa", "given" : "a.", "non-dropping-particle" : "", "parse-names" : false, "suffix" : "" }, { "dropping-particle" : "", "family" : "Aken", "given" : "B. L.", "non-dropping-particle" : "", "parse-names" : false, "suffix" : "" }, { "dropping-particle" : "", "family" : "Birney", "given" : "E.", "non-dropping-particle" : "", "parse-names" : false, "suffix" : "" }, { "dropping-particle" : "", "family" : "Harrow", "given" : "J.", "non-dropping-particle" : "", "parse-names" : false, "suffix" : "" }, { "dropping-particle" : "", "family" : "Kinsella", "given" : "R.", "non-dropping-particle" : "", "parse-names" : false, "suffix" : "" }, { "dropping-particle" : "", "family" : "Muffato", "given" : "M.", "non-dropping-particle" : "", "parse-names" : false, "suffix" : "" }, { "dropping-particle" : "", "family" : "Ruffier", "given" : "M.", "non-dropping-particle" : "", "parse-names" : false, "suffix" : "" }, { "dropping-particle" : "", "family" : "Searle", "given" : "S. M. J.", "non-dropping-particle" : "", "parse-names" : false, "suffix" : "" }, { "dropping-particle" : "", "family" : "Spudich", "given" : "G.", "non-dropping-particle" : "", "parse-names" : false, "suffix" : "" }, { "dropping-particle" : "", "family" : "Trevanion", "given" : "S. J.", "non-dropping-particle" : "", "parse-names" : false, "suffix" : "" }, { "dropping-particle" : "", "family" : "Yates", "given" : "a.", "non-dropping-particle" : "", "parse-names" : false, "suffix" : "" }, { "dropping-particle" : "", "family" : "Zerbino", "given" : "D. R.", "non-dropping-particle" : "", "parse-names" : false, "suffix" : "" }, { "dropping-particle" : "", "family" : "Flicek", "given" : "P.", "non-dropping-particle" : "", "parse-names" : false, "suffix" : "" } ], "container-title" : "Nucleic Acids Research", "id" : "ITEM-1", "issue" : "D1", "issued" : { "date-parts" : [ [ "2014" ] ] }, "page" : "D662-D669", "title" : "Ensembl 2015", "type" : "article-journal", "volume" : "43" }, "uris" : [ "http://www.mendeley.com/documents/?uuid=867fe725-9f4c-4967-9bee-706663bad4b4" ] } ], "mendeley" : { "formattedCitation" : "[12]", "plainTextFormattedCitation" : "[12]", "previouslyFormattedCitation" : "[12]" }, "properties" : { "noteIndex" : 0 }, "schema" : "https://github.com/citation-style-language/schema/raw/master/csl-citation.json" }</w:instrText>
      </w:r>
      <w:r w:rsidRPr="004736A5">
        <w:rPr>
          <w:rFonts w:ascii="Arial" w:eastAsia="MS Gothic" w:hAnsi="Arial" w:cs="Arial"/>
          <w:color w:val="000000"/>
          <w:sz w:val="22"/>
          <w:szCs w:val="22"/>
        </w:rPr>
        <w:fldChar w:fldCharType="separate"/>
      </w:r>
      <w:r w:rsidR="00F43643" w:rsidRPr="00F43643">
        <w:rPr>
          <w:rFonts w:ascii="Arial" w:eastAsia="MS Gothic" w:hAnsi="Arial" w:cs="Arial"/>
          <w:noProof/>
          <w:color w:val="000000"/>
          <w:sz w:val="22"/>
          <w:szCs w:val="22"/>
        </w:rPr>
        <w:t>[12]</w:t>
      </w:r>
      <w:r w:rsidRPr="004736A5">
        <w:rPr>
          <w:rFonts w:ascii="Arial" w:eastAsia="MS Gothic" w:hAnsi="Arial" w:cs="Arial"/>
          <w:color w:val="000000"/>
          <w:sz w:val="22"/>
          <w:szCs w:val="22"/>
        </w:rPr>
        <w:fldChar w:fldCharType="end"/>
      </w:r>
      <w:r w:rsidRPr="004736A5">
        <w:rPr>
          <w:rFonts w:ascii="Arial" w:hAnsi="Arial" w:cs="Arial"/>
          <w:sz w:val="22"/>
          <w:szCs w:val="22"/>
        </w:rPr>
        <w:t xml:space="preserve"> and gene promoters as the 2 kb region upstream of the TSS (following </w:t>
      </w:r>
      <w:r w:rsidRPr="004736A5">
        <w:rPr>
          <w:rFonts w:ascii="Arial" w:hAnsi="Arial" w:cs="Arial"/>
          <w:sz w:val="22"/>
          <w:szCs w:val="22"/>
        </w:rPr>
        <w:fldChar w:fldCharType="begin" w:fldLock="1"/>
      </w:r>
      <w:r w:rsidR="00F43643">
        <w:rPr>
          <w:rFonts w:ascii="Arial" w:hAnsi="Arial" w:cs="Arial"/>
          <w:sz w:val="22"/>
          <w:szCs w:val="22"/>
        </w:rPr>
        <w:instrText>ADDIN CSL_CITATION { "citationItems" : [ { "id" : "ITEM-1", "itemData" : { "DOI" : "10.1371/journal.pgen.1003433", "ISSN" : "1553-7404", "author" : [ { "dropping-particle" : "", "family" : "Shulha", "given" : "Hennady P.", "non-dropping-particle" : "", "parse-names" : false, "suffix" : "" }, { "dropping-particle" : "", "family" : "Cheung", "given" : "Iris", "non-dropping-particle" : "", "parse-names" : false, "suffix" : "" }, { "dropping-particle" : "", "family" : "Guo", "given" : "Yin", "non-dropping-particle" : "", "parse-names" : false, "suffix" : "" }, { "dropping-particle" : "", "family" : "Akbarian", "given" : "Schahram", "non-dropping-particle" : "", "parse-names" : false, "suffix" : "" }, { "dropping-particle" : "", "family" : "Weng", "given" : "Zhiping", "non-dropping-particle" : "", "parse-names" : false, "suffix" : "" } ], "container-title" : "PLoS Genetics", "editor" : [ { "dropping-particle" : "", "family" : "Ren", "given" : "Bing", "non-dropping-particle" : "", "parse-names" : false, "suffix" : "" } ], "id" : "ITEM-1", "issue" : "4", "issued" : { "date-parts" : [ [ "2013", "4", "11" ] ] }, "page" : "e1003433", "title" : "Coordinated Cell Type\u2013Specific Epigenetic Remodeling in Prefrontal Cortex Begins before Birth and Continues into Early Adulthood", "type" : "article-journal", "volume" : "9" }, "uris" : [ "http://www.mendeley.com/documents/?uuid=a0a8a2cf-2c7e-4301-89b8-08d6601dcd6f" ] }, { "id" : "ITEM-2", "itemData" : { "DOI" : "10.1038/nbt.1530.Targeted", "author" : [ { "dropping-particle" : "", "family" : "Deng", "given" : "Jie", "non-dropping-particle" : "", "parse-names" : false, "suffix" : "" }, { "dropping-particle" : "", "family" : "Shoemaker", "given" : "Robert", "non-dropping-particle" : "", "parse-names" : false, "suffix" : "" }, { "dropping-particle" : "", "family" : "Xie", "given" : "Bin", "non-dropping-particle" : "", "parse-names" : false, "suffix" : "" } ], "container-title" : "Nature biotechnology", "id" : "ITEM-2", "issue" : "4", "issued" : { "date-parts" : [ [ "2009" ] ] }, "page" : "353-360", "title" : "Targeted bisulfite sequencing reveals changes in DNA methylation associated with nuclear reprogramming", "type" : "article-journal", "volume" : "27" }, "uris" : [ "http://www.mendeley.com/documents/?uuid=860dff16-d240-422e-8533-9556b5501376" ] } ], "mendeley" : { "formattedCitation" : "[13,14]", "manualFormatting" : "Deng et al. 2009; Shulha et al. 2013)", "plainTextFormattedCitation" : "[13,14]", "previouslyFormattedCitation" : "[13,14]" }, "properties" : { "noteIndex" : 0 }, "schema" : "https://github.com/citation-style-language/schema/raw/master/csl-citation.json" }</w:instrText>
      </w:r>
      <w:r w:rsidRPr="004736A5">
        <w:rPr>
          <w:rFonts w:ascii="Arial" w:hAnsi="Arial" w:cs="Arial"/>
          <w:sz w:val="22"/>
          <w:szCs w:val="22"/>
        </w:rPr>
        <w:fldChar w:fldCharType="separate"/>
      </w:r>
      <w:r w:rsidRPr="004736A5">
        <w:rPr>
          <w:rFonts w:ascii="Arial" w:hAnsi="Arial" w:cs="Arial"/>
          <w:noProof/>
          <w:sz w:val="22"/>
          <w:szCs w:val="22"/>
        </w:rPr>
        <w:t xml:space="preserve">Deng </w:t>
      </w:r>
      <w:r w:rsidRPr="004736A5">
        <w:rPr>
          <w:rFonts w:ascii="Arial" w:hAnsi="Arial" w:cs="Arial"/>
          <w:i/>
          <w:noProof/>
          <w:sz w:val="22"/>
          <w:szCs w:val="22"/>
        </w:rPr>
        <w:t>et al.</w:t>
      </w:r>
      <w:r w:rsidRPr="004736A5">
        <w:rPr>
          <w:rFonts w:ascii="Arial" w:hAnsi="Arial" w:cs="Arial"/>
          <w:noProof/>
          <w:sz w:val="22"/>
          <w:szCs w:val="22"/>
        </w:rPr>
        <w:t xml:space="preserve"> 2009; Shulha </w:t>
      </w:r>
      <w:r w:rsidRPr="004736A5">
        <w:rPr>
          <w:rFonts w:ascii="Arial" w:hAnsi="Arial" w:cs="Arial"/>
          <w:i/>
          <w:noProof/>
          <w:sz w:val="22"/>
          <w:szCs w:val="22"/>
        </w:rPr>
        <w:t>et al.</w:t>
      </w:r>
      <w:r w:rsidRPr="004736A5">
        <w:rPr>
          <w:rFonts w:ascii="Arial" w:hAnsi="Arial" w:cs="Arial"/>
          <w:noProof/>
          <w:sz w:val="22"/>
          <w:szCs w:val="22"/>
        </w:rPr>
        <w:t xml:space="preserve"> 2013)</w:t>
      </w:r>
      <w:r w:rsidRPr="004736A5">
        <w:rPr>
          <w:rFonts w:ascii="Arial" w:hAnsi="Arial" w:cs="Arial"/>
          <w:sz w:val="22"/>
          <w:szCs w:val="22"/>
        </w:rPr>
        <w:fldChar w:fldCharType="end"/>
      </w:r>
      <w:r w:rsidRPr="004736A5">
        <w:rPr>
          <w:rFonts w:ascii="Arial" w:hAnsi="Arial" w:cs="Arial"/>
          <w:sz w:val="22"/>
          <w:szCs w:val="22"/>
        </w:rPr>
        <w:t>. CpG islands were annotated based on the UCSC Genome Browser track for baboon</w:t>
      </w:r>
      <w:r w:rsidRPr="004736A5">
        <w:rPr>
          <w:rFonts w:ascii="Arial" w:eastAsia="MS Gothic" w:hAnsi="Arial" w:cs="Arial"/>
          <w:color w:val="000000"/>
          <w:sz w:val="22"/>
          <w:szCs w:val="22"/>
        </w:rPr>
        <w:t xml:space="preserve"> </w:t>
      </w:r>
      <w:r w:rsidRPr="004736A5">
        <w:rPr>
          <w:rFonts w:ascii="Arial" w:eastAsia="MS Gothic" w:hAnsi="Arial" w:cs="Arial"/>
          <w:color w:val="000000"/>
          <w:sz w:val="22"/>
          <w:szCs w:val="22"/>
        </w:rPr>
        <w:fldChar w:fldCharType="begin" w:fldLock="1"/>
      </w:r>
      <w:r w:rsidR="00F43643">
        <w:rPr>
          <w:rFonts w:ascii="Arial" w:eastAsia="MS Gothic" w:hAnsi="Arial" w:cs="Arial"/>
          <w:color w:val="000000"/>
          <w:sz w:val="22"/>
          <w:szCs w:val="22"/>
        </w:rPr>
        <w:instrText>ADDIN CSL_CITATION { "citationItems" : [ { "id" : "ITEM-1", "itemData" : { "DOI" : "10.1093/nar/gkt1168", "ISBN" : "1362-4962 (Electronic)", "ISSN" : "03051048", "PMID" : "24270787", "abstract" : "The University of California Santa Cruz (UCSC) Genome Browser (http://genome.ucsc.edu) offers online public access to a growing database of genomic sequence and annotations for a large collection of organisms, primarily vertebrates, with an emphasis on the human and mouse genomes. The Browser's web-based tools provide an integrated environment for visualizing, comparing, analysing and sharing both publicly available and user-generated genomic data sets. As of September 2013, the database contained genomic sequence and a basic set of annotation 'tracks' for \u223c90 organisms. Significant new annotations include a 60-species multiple alignment conservation track on the mouse, updated UCSC Genes tracks for human and mouse, and several new sets of variation and ENCODE data. New software tools include a Variant Annotation Integrator that returns predicted functional effects of a set of variants uploaded as a custom track, an extension to UCSC Genes that displays haplotype alleles for protein-coding genes and an expansion of data hubs that includes the capability to display remotely hosted user-provided assembly sequence in addition to annotation data. To improve European access, we have added a Genome Browser mirror (http://genome-euro.ucsc.edu) hosted at Bielefeld University in Germany.", "author" : [ { "dropping-particle" : "", "family" : "Karolchik", "given" : "Donna", "non-dropping-particle" : "", "parse-names" : false, "suffix" : "" }, { "dropping-particle" : "", "family" : "Barber", "given" : "Galt P.", "non-dropping-particle" : "", "parse-names" : false, "suffix" : "" }, { "dropping-particle" : "", "family" : "Casper", "given" : "Jonathan", "non-dropping-particle" : "", "parse-names" : false, "suffix" : "" }, { "dropping-particle" : "", "family" : "Clawson", "given" : "Hiram", "non-dropping-particle" : "", "parse-names" : false, "suffix" : "" }, { "dropping-particle" : "", "family" : "Cline", "given" : "Melissa S.", "non-dropping-particle" : "", "parse-names" : false, "suffix" : "" }, { "dropping-particle" : "", "family" : "Diekhans", "given" : "Mark", "non-dropping-particle" : "", "parse-names" : false, "suffix" : "" }, { "dropping-particle" : "", "family" : "Dreszer", "given" : "Timothy R.", "non-dropping-particle" : "", "parse-names" : false, "suffix" : "" }, { "dropping-particle" : "", "family" : "Fujita", "given" : "Pauline a.", "non-dropping-particle" : "", "parse-names" : false, "suffix" : "" }, { "dropping-particle" : "", "family" : "Guruvadoo", "given" : "Luvina", "non-dropping-particle" : "", "parse-names" : false, "suffix" : "" }, { "dropping-particle" : "", "family" : "Haeussler", "given" : "Maximilian", "non-dropping-particle" : "", "parse-names" : false, "suffix" : "" }, { "dropping-particle" : "", "family" : "Harte", "given" : "Rachel a.", "non-dropping-particle" : "", "parse-names" : false, "suffix" : "" }, { "dropping-particle" : "", "family" : "Heitner", "given" : "Steve", "non-dropping-particle" : "", "parse-names" : false, "suffix" : "" }, { "dropping-particle" : "", "family" : "Hinrichs", "given" : "Angie S.", "non-dropping-particle" : "", "parse-names" : false, "suffix" : "" }, { "dropping-particle" : "", "family" : "Learned", "given" : "Katrina", "non-dropping-particle" : "", "parse-names" : false, "suffix" : "" }, { "dropping-particle" : "", "family" : "Lee", "given" : "Brian T.", "non-dropping-particle" : "", "parse-names" : false, "suffix" : "" }, { "dropping-particle" : "", "family" : "Li", "given" : "Chin H.", "non-dropping-particle" : "", "parse-names" : false, "suffix" : "" }, { "dropping-particle" : "", "family" : "Raney", "given" : "Brian J.", "non-dropping-particle" : "", "parse-names" : false, "suffix" : "" }, { "dropping-particle" : "", "family" : "Rhead", "given" : "Brooke", "non-dropping-particle" : "", "parse-names" : false, "suffix" : "" }, { "dropping-particle" : "", "family" : "Rosenbloom", "given" : "Kate R.", "non-dropping-particle" : "", "parse-names" : false, "suffix" : "" }, { "dropping-particle" : "", "family" : "Sloan", "given" : "Cricket a.", "non-dropping-particle" : "", "parse-names" : false, "suffix" : "" }, { "dropping-particle" : "", "family" : "Speir", "given" : "Matthew L.", "non-dropping-particle" : "", "parse-names" : false, "suffix" : "" }, { "dropping-particle" : "", "family" : "Zweig", "given" : "Ann S.", "non-dropping-particle" : "", "parse-names" : false, "suffix" : "" }, { "dropping-particle" : "", "family" : "Haussler", "given" : "David", "non-dropping-particle" : "", "parse-names" : false, "suffix" : "" }, { "dropping-particle" : "", "family" : "Kuhn", "given" : "Robert M.", "non-dropping-particle" : "", "parse-names" : false, "suffix" : "" }, { "dropping-particle" : "", "family" : "Kent", "given" : "W. James", "non-dropping-particle" : "", "parse-names" : false, "suffix" : "" } ], "container-title" : "Nucleic Acids Research", "id" : "ITEM-1", "issue" : "D1", "issued" : { "date-parts" : [ [ "2014" ] ] }, "page" : "764-770", "title" : "The UCSC Genome Browser database: 2014 update", "type" : "article-journal", "volume" : "42" }, "uris" : [ "http://www.mendeley.com/documents/?uuid=c94be2a5-233d-4ca8-9c76-8a5dd5cd3c0a" ] } ], "mendeley" : { "formattedCitation" : "[15]", "plainTextFormattedCitation" : "[15]", "previouslyFormattedCitation" : "[15]" }, "properties" : { "noteIndex" : 0 }, "schema" : "https://github.com/citation-style-language/schema/raw/master/csl-citation.json" }</w:instrText>
      </w:r>
      <w:r w:rsidRPr="004736A5">
        <w:rPr>
          <w:rFonts w:ascii="Arial" w:eastAsia="MS Gothic" w:hAnsi="Arial" w:cs="Arial"/>
          <w:color w:val="000000"/>
          <w:sz w:val="22"/>
          <w:szCs w:val="22"/>
        </w:rPr>
        <w:fldChar w:fldCharType="separate"/>
      </w:r>
      <w:r w:rsidR="00F43643" w:rsidRPr="00F43643">
        <w:rPr>
          <w:rFonts w:ascii="Arial" w:eastAsia="MS Gothic" w:hAnsi="Arial" w:cs="Arial"/>
          <w:noProof/>
          <w:color w:val="000000"/>
          <w:sz w:val="22"/>
          <w:szCs w:val="22"/>
        </w:rPr>
        <w:t>[15]</w:t>
      </w:r>
      <w:r w:rsidRPr="004736A5">
        <w:rPr>
          <w:rFonts w:ascii="Arial" w:eastAsia="MS Gothic" w:hAnsi="Arial" w:cs="Arial"/>
          <w:color w:val="000000"/>
          <w:sz w:val="22"/>
          <w:szCs w:val="22"/>
        </w:rPr>
        <w:fldChar w:fldCharType="end"/>
      </w:r>
      <w:r w:rsidRPr="004736A5">
        <w:rPr>
          <w:rFonts w:ascii="Arial" w:hAnsi="Arial" w:cs="Arial"/>
          <w:sz w:val="22"/>
          <w:szCs w:val="22"/>
        </w:rPr>
        <w:t xml:space="preserve">, and CpG island shores were defined as the 2 kb regions </w:t>
      </w:r>
      <w:r w:rsidRPr="004736A5">
        <w:rPr>
          <w:rFonts w:ascii="Arial" w:eastAsia="MS Gothic" w:hAnsi="Arial" w:cs="Arial"/>
          <w:color w:val="000000"/>
          <w:sz w:val="22"/>
          <w:szCs w:val="22"/>
        </w:rPr>
        <w:t xml:space="preserve">flanking either side of the CpG island boundary (following </w:t>
      </w:r>
      <w:r w:rsidRPr="004736A5">
        <w:rPr>
          <w:rFonts w:ascii="Arial" w:eastAsia="MS Gothic" w:hAnsi="Arial" w:cs="Arial"/>
          <w:color w:val="000000"/>
          <w:sz w:val="22"/>
          <w:szCs w:val="22"/>
        </w:rPr>
        <w:fldChar w:fldCharType="begin" w:fldLock="1"/>
      </w:r>
      <w:r w:rsidR="00F43643">
        <w:rPr>
          <w:rFonts w:ascii="Arial" w:eastAsia="MS Gothic" w:hAnsi="Arial" w:cs="Arial"/>
          <w:color w:val="000000"/>
          <w:sz w:val="22"/>
          <w:szCs w:val="22"/>
        </w:rPr>
        <w:instrText>ADDIN CSL_CITATION { "citationItems" : [ { "id" : "ITEM-1", "itemData" : { "DOI" : "10.1371/journal.pgen.1003763", "ISSN" : "1553-7404", "PMID" : "24039605", "abstract" : "DNA methylation is an epigenetic modification involved in regulatory processes such as cell differentiation during development, X-chromosome inactivation, genomic imprinting and susceptibility to complex disease. However, the dynamics of DNA methylation changes between humans and their closest relatives are still poorly understood. We performed a comparative analysis of CpG methylation patterns between 9 humans and 23 primate samples including all species of great apes (chimpanzee, bonobo, gorilla and orangutan) using Illumina Methylation450 bead arrays. Our analysis identified \u223c800 genes with significantly altered methylation patterns among the great apes, including \u223c170 genes with a methylation pattern unique to human. Some of these are known to be involved in developmental and neurological features, suggesting that epigenetic changes have been frequent during recent human and primate evolution. We identified a significant positive relationship between the rate of coding variation and alterations of methylation at the promoter level, indicative of co-occurrence between evolution of protein sequence and gene regulation. In contrast, and supporting the idea that many phenotypic differences between humans and great apes are not due to amino acid differences, our analysis also identified 184 genes that are perfectly conserved at protein level between human and chimpanzee, yet show significant epigenetic differences between these two species. We conclude that epigenetic alterations are an important force during primate evolution and have been under-explored in evolutionary comparative genomics.", "author" : [ { "dropping-particle" : "", "family" : "Hernando-Herraez", "given" : "Irene", "non-dropping-particle" : "", "parse-names" : false, "suffix" : "" }, { "dropping-particle" : "", "family" : "Prado-Martinez", "given" : "Javier", "non-dropping-particle" : "", "parse-names" : false, "suffix" : "" }, { "dropping-particle" : "", "family" : "Garg", "given" : "Paras", "non-dropping-particle" : "", "parse-names" : false, "suffix" : "" }, { "dropping-particle" : "", "family" : "Fernandez-Callejo", "given" : "Marcos", "non-dropping-particle" : "", "parse-names" : false, "suffix" : "" }, { "dropping-particle" : "", "family" : "Heyn", "given" : "Holger", "non-dropping-particle" : "", "parse-names" : false, "suffix" : "" }, { "dropping-particle" : "", "family" : "Hvilsom", "given" : "Christina", "non-dropping-particle" : "", "parse-names" : false, "suffix" : "" }, { "dropping-particle" : "", "family" : "Navarro", "given" : "Arcadi", "non-dropping-particle" : "", "parse-names" : false, "suffix" : "" }, { "dropping-particle" : "", "family" : "Esteller", "given" : "Manel", "non-dropping-particle" : "", "parse-names" : false, "suffix" : "" }, { "dropping-particle" : "", "family" : "Sharp", "given" : "Andrew J", "non-dropping-particle" : "", "parse-names" : false, "suffix" : "" }, { "dropping-particle" : "", "family" : "Marques-Bonet", "given" : "Tomas", "non-dropping-particle" : "", "parse-names" : false, "suffix" : "" } ], "container-title" : "PLoS Genetics", "id" : "ITEM-1", "issue" : "9", "issued" : { "date-parts" : [ [ "2013", "9" ] ] }, "page" : "e1003763", "title" : "Dynamics of DNA methylation in recent human and great ape evolution.", "type" : "article-journal", "volume" : "9" }, "uris" : [ "http://www.mendeley.com/documents/?uuid=95eb6948-4ddb-4cb6-a26a-4f7d570ff741" ] }, { "id" : "ITEM-2", "itemData" : { "DOI" : "10.1038/nprot.2010.190", "ISSN" : "1750-2799", "PMID" : "21412275", "abstract" : "Genome-wide mapping of 5-methylcytosine is of broad interest to many fields of biology and medicine. A variety of methods have been developed, and several have recently been advanced to genome-wide scale using arrays and next-generation sequencing approaches. We have previously reported reduced representation bisulfite sequencing (RRBS), a bisulfite-based protocol that enriches CG-rich parts of the genome, thereby reducing the amount of sequencing required while capturing the majority of promoters and other relevant genomic regions. The approach provides single-nucleotide resolution, is highly sensitive and provides quantitative DNA methylation measurements. This protocol should enable any standard molecular biology laboratory to generate RRBS libraries of high quality. Briefly, purified genomic DNA is digested by the methylation-insensitive restriction enzyme MspI to generate short fragments that contain CpG dinucleotides at the ends. After end-repair, A-tailing and ligation to methylated Illumina adapters, the CpG-rich DNA fragments (40-220 bp) are size selected, subjected to bisulfite conversion, PCR amplified and end sequenced on an Illumina Genome Analyzer. Note that alignment and analysis of RRBS sequencing reads are not covered in this protocol. The extremely low input requirements (10-300 ng), the applicability of the protocol to formalin-fixed and paraffin-embedded samples, and the technique's single-nucleotide resolution extends RRBS to a wide range of biological and clinical samples and research applications. The entire process of RRBS library construction takes \u223c9 d.", "author" : [ { "dropping-particle" : "", "family" : "Gu", "given" : "Hongcang", "non-dropping-particle" : "", "parse-names" : false, "suffix" : "" }, { "dropping-particle" : "", "family" : "Smith", "given" : "Zachary D", "non-dropping-particle" : "", "parse-names" : false, "suffix" : "" }, { "dropping-particle" : "", "family" : "Bock", "given" : "Christoph", "non-dropping-particle" : "", "parse-names" : false, "suffix" : "" }, { "dropping-particle" : "", "family" : "Boyle", "given" : "Patrick", "non-dropping-particle" : "", "parse-names" : false, "suffix" : "" }, { "dropping-particle" : "", "family" : "Gnirke", "given" : "Andreas", "non-dropping-particle" : "", "parse-names" : false, "suffix" : "" }, { "dropping-particle" : "", "family" : "Meissner", "given" : "Alexander", "non-dropping-particle" : "", "parse-names" : false, "suffix" : "" } ], "container-title" : "Nature Protocols", "id" : "ITEM-2", "issue" : "4", "issued" : { "date-parts" : [ [ "2011", "4" ] ] }, "page" : "468-81", "title" : "Preparation of reduced representation bisulfite sequencing libraries for genome-scale DNA methylation profiling.", "type" : "article-journal", "volume" : "6" }, "uris" : [ "http://www.mendeley.com/documents/?uuid=c1fa6a00-6aa3-46bb-b6d7-ef8d05794d49" ] }, { "id" : "ITEM-3", "itemData" : { "DOI" : "10.1371/journal.pgen.1003572", "ISSN" : "1553-7404", "PMID" : "23825961", "abstract" : "Epigenetic mechanisms are implicated in gene regulation and the development of different diseases. The epigenome differs between cell types and has until now only been characterized for a few human tissues. Environmental factors potentially alter the epigenome. Here we describe the genome-wide pattern of DNA methylation in human adipose tissue from 23 healthy men, with a previous low level of physical activity, before and after a six months exercise intervention. We also investigate the differences in adipose tissue DNA methylation between 31 individuals with or without a family history of type 2 diabetes. DNA methylation was analyzed using Infinium HumanMethylation450 BeadChip, an array containing 485,577 probes covering 99% RefSeq genes. Global DNA methylation changed and 17,975 individual CpG sites in 7,663 unique genes showed altered levels of DNA methylation after the exercise intervention (q&lt;0.05). Differential mRNA expression was present in 1/3 of gene regions with altered DNA methylation, including RALBP1, HDAC4 and NCOR2 (q&lt;0.05). Using a luciferase assay, we could show that increased DNA methylation in vitro of the RALBP1 promoter suppressed the transcriptional activity (p = 0.03). Moreover, 18 obesity and 21 type 2 diabetes candidate genes had CpG sites with differences in adipose tissue DNA methylation in response to exercise (q&lt;0.05), including TCF7L2 (6 CpG sites) and KCNQ1 (10 CpG sites). A simultaneous change in mRNA expression was seen for 6 of those genes. To understand if genes that exhibit differential DNA methylation and mRNA expression in human adipose tissue in vivo affect adipocyte metabolism, we silenced Hdac4 and Ncor2 respectively in 3T3-L1 adipocytes, which resulted in increased lipogenesis both in the basal and insulin stimulated state. In conclusion, exercise induces genome-wide changes in DNA methylation in human adipose tissue, potentially affecting adipocyte metabolism.", "author" : [ { "dropping-particle" : "", "family" : "R\u00f6nn", "given" : "Tina", "non-dropping-particle" : "", "parse-names" : false, "suffix" : "" }, { "dropping-particle" : "", "family" : "Volkov", "given" : "Petr", "non-dropping-particle" : "", "parse-names" : false, "suffix" : "" }, { "dropping-particle" : "", "family" : "Daveg\u00e5rdh", "given" : "Cajsa", "non-dropping-particle" : "", "parse-names" : false, "suffix" : "" }, { "dropping-particle" : "", "family" : "Dayeh", "given" : "Tasnim", "non-dropping-particle" : "", "parse-names" : false, "suffix" : "" }, { "dropping-particle" : "", "family" : "Hall", "given" : "Elin", "non-dropping-particle" : "", "parse-names" : false, "suffix" : "" }, { "dropping-particle" : "", "family" : "Olsson", "given" : "Anders H", "non-dropping-particle" : "", "parse-names" : false, "suffix" : "" }, { "dropping-particle" : "", "family" : "Nilsson", "given" : "Emma", "non-dropping-particle" : "", "parse-names" : false, "suffix" : "" }, { "dropping-particle" : "", "family" : "Tornberg", "given" : "Asa", "non-dropping-particle" : "", "parse-names" : false, "suffix" : "" }, { "dropping-particle" : "", "family" : "Dekker Nitert", "given" : "Marloes", "non-dropping-particle" : "", "parse-names" : false, "suffix" : "" }, { "dropping-particle" : "", "family" : "Eriksson", "given" : "Karl-Fredrik", "non-dropping-particle" : "", "parse-names" : false, "suffix" : "" }, { "dropping-particle" : "", "family" : "Jones", "given" : "Helena", "non-dropping-particle" : "", "parse-names" : false, "suffix" : "" }, { "dropping-particle" : "", "family" : "Groop", "given" : "Leif", "non-dropping-particle" : "", "parse-names" : false, "suffix" : "" }, { "dropping-particle" : "", "family" : "Ling", "given" : "Charlotte", "non-dropping-particle" : "", "parse-names" : false, "suffix" : "" } ], "container-title" : "PLoS Genetics", "id" : "ITEM-3", "issue" : "6", "issued" : { "date-parts" : [ [ "2013", "6" ] ] }, "page" : "e1003572", "title" : "A six months exercise intervention influences the genome-wide DNA methylation pattern in human adipose tissue.", "type" : "article-journal", "volume" : "9" }, "uris" : [ "http://www.mendeley.com/documents/?uuid=87781eb1-f54c-45cd-b7be-b3cdc00ef6de" ] } ], "mendeley" : { "formattedCitation" : "[16\u201318]", "manualFormatting" : "Gu et al. 2011; R\u00f6nn et al. 2013; Hernando-Herraez et al. 2013)", "plainTextFormattedCitation" : "[16\u201318]", "previouslyFormattedCitation" : "[16\u201318]" }, "properties" : { "noteIndex" : 0 }, "schema" : "https://github.com/citation-style-language/schema/raw/master/csl-citation.json" }</w:instrText>
      </w:r>
      <w:r w:rsidRPr="004736A5">
        <w:rPr>
          <w:rFonts w:ascii="Arial" w:eastAsia="MS Gothic" w:hAnsi="Arial" w:cs="Arial"/>
          <w:color w:val="000000"/>
          <w:sz w:val="22"/>
          <w:szCs w:val="22"/>
        </w:rPr>
        <w:fldChar w:fldCharType="separate"/>
      </w:r>
      <w:r w:rsidRPr="004736A5">
        <w:rPr>
          <w:rFonts w:ascii="Arial" w:eastAsia="MS Gothic" w:hAnsi="Arial" w:cs="Arial"/>
          <w:noProof/>
          <w:color w:val="000000"/>
          <w:sz w:val="22"/>
          <w:szCs w:val="22"/>
        </w:rPr>
        <w:t xml:space="preserve">Gu </w:t>
      </w:r>
      <w:r w:rsidRPr="004736A5">
        <w:rPr>
          <w:rFonts w:ascii="Arial" w:eastAsia="MS Gothic" w:hAnsi="Arial" w:cs="Arial"/>
          <w:i/>
          <w:noProof/>
          <w:color w:val="000000"/>
          <w:sz w:val="22"/>
          <w:szCs w:val="22"/>
        </w:rPr>
        <w:t>et al.</w:t>
      </w:r>
      <w:r w:rsidRPr="004736A5">
        <w:rPr>
          <w:rFonts w:ascii="Arial" w:eastAsia="MS Gothic" w:hAnsi="Arial" w:cs="Arial"/>
          <w:noProof/>
          <w:color w:val="000000"/>
          <w:sz w:val="22"/>
          <w:szCs w:val="22"/>
        </w:rPr>
        <w:t xml:space="preserve"> 2011; Rönn </w:t>
      </w:r>
      <w:r w:rsidRPr="004736A5">
        <w:rPr>
          <w:rFonts w:ascii="Arial" w:eastAsia="MS Gothic" w:hAnsi="Arial" w:cs="Arial"/>
          <w:i/>
          <w:noProof/>
          <w:color w:val="000000"/>
          <w:sz w:val="22"/>
          <w:szCs w:val="22"/>
        </w:rPr>
        <w:t>et al.</w:t>
      </w:r>
      <w:r w:rsidRPr="004736A5">
        <w:rPr>
          <w:rFonts w:ascii="Arial" w:eastAsia="MS Gothic" w:hAnsi="Arial" w:cs="Arial"/>
          <w:noProof/>
          <w:color w:val="000000"/>
          <w:sz w:val="22"/>
          <w:szCs w:val="22"/>
        </w:rPr>
        <w:t xml:space="preserve"> 2013; Hernando-Herraez </w:t>
      </w:r>
      <w:r w:rsidRPr="004736A5">
        <w:rPr>
          <w:rFonts w:ascii="Arial" w:eastAsia="MS Gothic" w:hAnsi="Arial" w:cs="Arial"/>
          <w:i/>
          <w:noProof/>
          <w:color w:val="000000"/>
          <w:sz w:val="22"/>
          <w:szCs w:val="22"/>
        </w:rPr>
        <w:t>et al.</w:t>
      </w:r>
      <w:r w:rsidRPr="004736A5">
        <w:rPr>
          <w:rFonts w:ascii="Arial" w:eastAsia="MS Gothic" w:hAnsi="Arial" w:cs="Arial"/>
          <w:noProof/>
          <w:color w:val="000000"/>
          <w:sz w:val="22"/>
          <w:szCs w:val="22"/>
        </w:rPr>
        <w:t xml:space="preserve"> 2013)</w:t>
      </w:r>
      <w:r w:rsidRPr="004736A5">
        <w:rPr>
          <w:rFonts w:ascii="Arial" w:eastAsia="MS Gothic" w:hAnsi="Arial" w:cs="Arial"/>
          <w:color w:val="000000"/>
          <w:sz w:val="22"/>
          <w:szCs w:val="22"/>
        </w:rPr>
        <w:fldChar w:fldCharType="end"/>
      </w:r>
      <w:r w:rsidRPr="004736A5">
        <w:rPr>
          <w:rFonts w:ascii="Arial" w:eastAsia="MS Gothic" w:hAnsi="Arial" w:cs="Arial"/>
          <w:color w:val="000000"/>
          <w:sz w:val="22"/>
          <w:szCs w:val="22"/>
        </w:rPr>
        <w:t xml:space="preserve">. Because no baboon-specific enhancer annotations are available, we defined putative enhancer regions based on H3K4me1 ChIP-seq data generated by ENCODE from human peripheral blood mononuclear cells </w:t>
      </w:r>
      <w:r w:rsidRPr="004736A5">
        <w:rPr>
          <w:rFonts w:ascii="Arial" w:eastAsia="MS Gothic" w:hAnsi="Arial" w:cs="Arial"/>
          <w:color w:val="000000"/>
          <w:sz w:val="22"/>
          <w:szCs w:val="22"/>
        </w:rPr>
        <w:fldChar w:fldCharType="begin" w:fldLock="1"/>
      </w:r>
      <w:r w:rsidR="00F43643">
        <w:rPr>
          <w:rFonts w:ascii="Arial" w:eastAsia="MS Gothic" w:hAnsi="Arial" w:cs="Arial"/>
          <w:color w:val="000000"/>
          <w:sz w:val="22"/>
          <w:szCs w:val="22"/>
        </w:rPr>
        <w:instrText>ADDIN CSL_CITATION { "citationItems" : [ { "id" : "ITEM-1", "itemData" : { "DOI" : "10.1038/nature11247", "ISSN" : "0028-0836", "author" : [ { "dropping-particle" : "", "family" : "Dunham", "given" : "Ian", "non-dropping-particle" : "", "parse-names" : false, "suffix" : "" }, { "dropping-particle" : "", "family" : "Kundaje", "given" : "Anshul", "non-dropping-particle" : "", "parse-names" : false, "suffix" : "" }, { "dropping-particle" : "", "family" : "Aldred", "given" : "Shelley F.", "non-dropping-particle" : "", "parse-names" : false, "suffix" : "" }, { "dropping-particle" : "", "family" : "Collins", "given" : "Patrick J.", "non-dropping-particle" : "", "parse-names" : false, "suffix" : "" }, { "dropping-particle" : "", "family" : "Davis", "given" : "Carrie", "non-dropping-particle" : "", "parse-names" : false, "suffix" : "" }, { "dropping-particle" : "", "family" : "Doyle", "given" : "Francis", "non-dropping-particle" : "", "parse-names" : false, "suffix" : "" }, { "dropping-particle" : "", "family" : "Epstein", "given" : "Charles B.", "non-dropping-particle" : "", "parse-names" : false, "suffix" : "" }, { "dropping-particle" : "", "family" : "Frietze", "given" : "Seth", "non-dropping-particle" : "", "parse-names" : false, "suffix" : "" }, { "dropping-particle" : "", "family" : "Harrow", "given" : "Jennifer", "non-dropping-particle" : "", "parse-names" : false, "suffix" : "" }, { "dropping-particle" : "", "family" : "Kaul", "given" : "Rajinder", "non-dropping-particle" : "", "parse-names" : false, "suffix" : "" }, { "dropping-particle" : "", "family" : "Khatun", "given" : "Jainab", "non-dropping-particle" : "", "parse-names" : false, "suffix" : "" }, { "dropping-particle" : "", "family" : "Lajoie", "given" : "Bryan R.", "non-dropping-particle" : "", "parse-names" : false, "suffix" : "" }, { "dropping-particle" : "", "family" : "Landt", "given" : "Stephen G.", "non-dropping-particle" : "", "parse-names" : false, "suffix" : "" }, { "dropping-particle" : "", "family" : "Lee", "given" : "Bum-Kyu", "non-dropping-particle" : "", "parse-names" : false, "suffix" : "" }, { "dropping-particle" : "", "family" : "Pauli", "given" : "Florencia", "non-dropping-particle" : "", "parse-names" : false, "suffix" : "" }, { "dropping-particle" : "", "family" : "Rosenbloom", "given" : "Kate R.", "non-dropping-particle" : "", "parse-names" : false, "suffix" : "" }, { "dropping-particle" : "", "family" : "Sabo", "given" : "Peter", "non-dropping-particle" : "", "parse-names" : false, "suffix" : "" }, { "dropping-particle" : "", "family" : "Safi", "given" : "Alexias", "non-dropping-particle" : "", "parse-names" : false, "suffix" : "" }, { "dropping-particle" : "", "family" : "Sanyal", "given" : "Amartya", "non-dropping-particle" : "", "parse-names" : false, "suffix" : "" }, { "dropping-particle" : "", "family" : "Shoresh", "given" : "Noam", "non-dropping-particle" : "", "parse-names" : false, "suffix" : "" }, { "dropping-particle" : "", "family" : "Simon", "given" : "Jeremy M.", "non-dropping-particle" : "", "parse-names" : false, "suffix" : "" }, { "dropping-particle" : "", "family" : "Song", "given" : "Lingyun", "non-dropping-particle" : "", "parse-names" : false, "suffix" : "" }, { "dropping-particle" : "", "family" : "Trinklein", "given" : "Nathan D.", "non-dropping-particle" : "", "parse-names" : false, "suffix" : "" }, { "dropping-particle" : "", "family" : "Altshuler", "given" : "Robert C.", "non-dropping-particle" : "", "parse-names" : false, "suffix" : "" }, { "dropping-particle" : "", "family" : "Birney", "given" : "Ewan", "non-dropping-particle" : "", "parse-names" : false, "suffix" : "" }, { "dropping-particle" : "", "family" : "Brown", "given" : "James B.", "non-dropping-particle" : "", "parse-names" : false, "suffix" : "" }, { "dropping-particle" : "", "family" : "Cheng", "given" : "Chao", "non-dropping-particle" : "", "parse-names" : false, "suffix" : "" }, { "dropping-particle" : "", "family" : "Djebali", "given" : "Sarah", "non-dropping-particle" : "", "parse-names" : false, "suffix" : "" }, { "dropping-particle" : "", "family" : "Dong", "given" : "Xianjun", "non-dropping-particle" : "", "parse-names" : false, "suffix" : "" }, { "dropping-particle" : "", "family" : "Ernst", "given" : "Jason", "non-dropping-particle" : "", "parse-names" : false, "suffix" : "" }, { "dropping-particle" : "", "family" : "Furey", "given" : "Terrence S.", "non-dropping-particle" : "", "parse-names" : false, "suffix" : "" }, { "dropping-particle" : "", "family" : "Gerstein", "given" : "Mark", "non-dropping-particle" : "", "parse-names" : false, "suffix" : "" }, { "dropping-particle" : "", "family" : "Giardine", "given" : "Belinda", "non-dropping-particle" : "", "parse-names" : false, "suffix" : "" }, { "dropping-particle" : "", "family" : "Greven", "given" : "Melissa", "non-dropping-particle" : "", "parse-names" : false, "suffix" : "" }, { "dropping-particle" : "", "family" : "Hardison", "given" : "Ross C.", "non-dropping-particle" : "", "parse-names" : false, "suffix" : "" }, { "dropping-particle" : "", "family" : "Harris", "given" : "Robert S.", "non-dropping-particle" : "", "parse-names" : false, "suffix" : "" }, { "dropping-particle" : "", "family" : "Herrero", "given" : "Javier", "non-dropping-particle" : "", "parse-names" : false, "suffix" : "" }, { "dropping-particle" : "", "family" : "Hoffman", "given" : "Michael M.", "non-dropping-particle" : "", "parse-names" : false, "suffix" : "" }, { "dropping-particle" : "", "family" : "Iyer", "given" : "Sowmya", "non-dropping-particle" : "", "parse-names" : false, "suffix" : "" }, { "dropping-particle" : "", "family" : "Kellis", "given" : "Manolis", "non-dropping-particle" : "", "parse-names" : false, "suffix" : "" }, { "dropping-particle" : "", "family" : "Kheradpour", "given" : "Pouya", "non-dropping-particle" : "", "parse-names" : false, "suffix" : "" }, { "dropping-particle" : "", "family" : "Lassmann", "given" : "Timo", "non-dropping-particle" : "", "parse-names" : false, "suffix" : "" }, { "dropping-particle" : "", "family" : "Li", "given" : "Qunhua", "non-dropping-particle" : "", "parse-names" : false, "suffix" : "" }, { "dropping-particle" : "", "family" : "Lin", "given" : "Xinying", "non-dropping-particle" : "", "parse-names" : false, "suffix" : "" }, { "dropping-particle" : "", "family" : "Marinov", "given" : "Georgi K.", "non-dropping-particle" : "", "parse-names" : false, "suffix" : "" }, { "dropping-particle" : "", "family" : "Merkel", "given" : "Angelika", "non-dropping-particle" : "", "parse-names" : false, "suffix" : "" }, { "dropping-particle" : "", "family" : "Mortazavi", "given" : "Ali", "non-dropping-particle" : "", "parse-names" : false, "suffix" : "" }, { "dropping-particle" : "", "family" : "Parker", "given" : "Stephen C. J.", "non-dropping-particle" : "", "parse-names" : false, "suffix" : "" }, { "dropping-particle" : "", "family" : "Reddy", "given" : "Timothy E.", "non-dropping-particle" : "", "parse-names" : false, "suffix" : "" }, { "dropping-particle" : "", "family" : "Rozowsky", "given" : "Joel", "non-dropping-particle" : "", "parse-names" : false, "suffix" : "" }, { "dropping-particle" : "", "family" : "Schlesinger", "given" : "Felix", "non-dropping-particle" : "", "parse-names" : false, "suffix" : "" }, { "dropping-particle" : "", "family" : "Thurman", "given" : "Robert E.", "non-dropping-particle" : "", "parse-names" : false, "suffix" : "" }, { "dropping-particle" : "", "family" : "Wang", "given" : "Jie", "non-dropping-particle" : "", "parse-names" : false, "suffix" : "" }, { "dropping-particle" : "", "family" : "Ward", "given" : "Lucas D.", "non-dropping-particle" : "", "parse-names" : false, "suffix" : "" }, { "dropping-particle" : "", "family" : "Whitfield", "given" : "Troy W.", "non-dropping-particle" : "", "parse-names" : false, "suffix" : "" }, { "dropping-particle" : "", "family" : "Wilder", "given" : "Steven P.", "non-dropping-particle" : "", "parse-names" : false, "suffix" : "" }, { "dropping-particle" : "", "family" : "Wu", "given" : "Weisheng", "non-dropping-particle" : "", "parse-names" : false, "suffix" : "" }, { "dropping-particle" : "", "family" : "Xi", "given" : "Hualin S.", "non-dropping-particle" : "", "parse-names" : false, "suffix" : "" }, { "dropping-particle" : "", "family" : "Yip", "given" : "Kevin Y.", "non-dropping-particle" : "", "parse-names" : false, "suffix" : "" }, { "dropping-particle" : "", "family" : "Zhuang", "given" : "Jiali", "non-dropping-particle" : "", "parse-names" : false, "suffix" : "" }, { "dropping-particle" : "", "family" : "Bernstein", "given" : "Bradley E.", "non-dropping-particle" : "", "parse-names" : false, "suffix" : "" }, { "dropping-particle" : "", "family" : "Green", "given" : "Eric D.", "non-dropping-particle" : "", "parse-names" : false, "suffix" : "" }, { "dropping-particle" : "", "family" : "Gunter", "given" : "Chris", "non-dropping-particle" : "", "parse-names" : false, "suffix" : "" }, { "dropping-particle" : "", "family" : "Snyder", "given" : "Michael", "non-dropping-particle" : "", "parse-names" : false, "suffix" : "" }, { "dropping-particle" : "", "family" : "Pazin", "given" : "Michael J.", "non-dropping-particle" : "", "parse-names" : false, "suffix" : "" }, { "dropping-particle" : "", "family" : "Lowdon", "given" : "Rebecca F.", "non-dropping-particle" : "", "parse-names" : false, "suffix" : "" }, { "dropping-particle" : "", "family" : "Dillon", "given" : "Laura a. L.", "non-dropping-particle" : "", "parse-names" : false, "suffix" : "" }, { "dropping-particle" : "", "family" : "Adams", "given" : "Leslie B.", "non-dropping-particle" : "", "parse-names" : false, "suffix" : "" }, { "dropping-particle" : "", "family" : "Kelly", "given" : "Caroline J.", "non-dropping-particle" : "", "parse-names" : false, "suffix" : "" }, { "dropping-particle" : "", "family" : "Zhang", "given" : "Julia", "non-dropping-particle" : "", "parse-names" : false, "suffix" : "" }, { "dropping-particle" : "", "family" : "Wexler", "given" : "Judith R.", "non-dropping-particle" : "", "parse-names" : false, "suffix" : "" }, { "dropping-particle" : "", "family" : "Good", "given" : "Peter J.", "non-dropping-particle" : "", "parse-names" : false, "suffix" : "" }, { "dropping-particle" : "", "family" : "Feingold", "given" : "Elise a.", "non-dropping-particle" : "", "parse-names" : false, "suffix" : "" }, { "dropping-particle" : "", "family" : "Crawford", "given" : "Gregory E.", "non-dropping-particle" : "", "parse-names" : false, "suffix" : "" }, { "dropping-particle" : "", "family" : "Dekker", "given" : "Job", "non-dropping-particle" : "", "parse-names" : false, "suffix" : "" }, { "dropping-particle" : "", "family" : "Elnitski", "given" : "Laura", "non-dropping-particle" : "", "parse-names" : false, "suffix" : "" }, { "dropping-particle" : "", "family" : "Farnham", "given" : "Peggy J.", "non-dropping-particle" : "", "parse-names" : false, "suffix" : "" }, { "dropping-particle" : "", "family" : "Giddings", "given" : "Morgan C.", "non-dropping-particle" : "", "parse-names" : false, "suffix" : "" }, { "dropping-particle" : "", "family" : "Gingeras", "given" : "Thomas R.", "non-dropping-particle" : "", "parse-names" : false, "suffix" : "" }, { "dropping-particle" : "", "family" : "Guig\u00f3", "given" : "Roderic", "non-dropping-particle" : "", "parse-names" : false, "suffix" : "" }, { "dropping-particle" : "", "family" : "Hubbard", "given" : "Timothy J.", "non-dropping-particle" : "", "parse-names" : false, "suffix" : "" }, { "dropping-particle" : "", "family" : "James Kent", "given" : "W.", "non-dropping-particle" : "", "parse-names" : false, "suffix" : "" }, { "dropping-particle" : "", "family" : "Lieb", "given" : "Jason D.", "non-dropping-particle" : "", "parse-names" : false, "suffix" : "" }, { "dropping-particle" : "", "family" : "Margulies", "given" : "Elliott H.", "non-dropping-particle" : "", "parse-names" : false, "suffix" : "" }, { "dropping-particle" : "", "family" : "Myers", "given" : "Richard M.", "non-dropping-particle" : "", "parse-names" : false, "suffix" : "" }, { "dropping-particle" : "", "family" : "Stamatoyannopoulos", "given" : "John a.", "non-dropping-particle" : "", "parse-names" : false, "suffix" : "" }, { "dropping-particle" : "", "family" : "Tenenbaum", "given" : "Scott a.", "non-dropping-particle" : "", "parse-names" : false, "suffix" : "" }, { "dropping-particle" : "", "family" : "Weng", "given" : "Zhiping", "non-dropping-particle" : "", "parse-names" : false, "suffix" : "" }, { "dropping-particle" : "", "family" : "White", "given" : "Kevin P.", "non-dropping-particle" : "", "parse-names" : false, "suffix" : "" }, { "dropping-particle" : "", "family" : "Wold", "given" : "Barbara", "non-dropping-particle" : "", "parse-names" : false, "suffix" : "" }, { "dropping-particle" : "", "family" : "Yu", "given" : "Yanbao", "non-dropping-particle" : "", "parse-names" : false, "suffix" : "" }, { "dropping-particle" : "", "family" : "Wrobel", "given" : "John", "non-dropping-particle" : "", "parse-names" : false, "suffix" : "" }, { "dropping-particle" : "", "family" : "Risk", "given" : "Brian a.", "non-dropping-particle" : "", "parse-names" : false, "suffix" : "" }, { "dropping-particle" : "", "family" : "Gunawardena", "given" : "Harsha P.", "non-dropping-particle" : "", "parse-names" : false, "suffix" : "" }, { "dropping-particle" : "", "family" : "Kuiper", "given" : "Heather C.", "non-dropping-particle" : "", "parse-names" : false, "suffix" : "" }, { "dropping-particle" : "", "family" : "Maier", "given" : "Christopher W.", "non-dropping-particle" : "", "parse-names" : false, "suffix" : "" }, { "dropping-particle" : "", "family" : "Xie", "given" : "Ling", "non-dropping-particle" : "", "parse-names" : false, "suffix" : "" }, { "dropping-particle" : "", "family" : "Chen", "given" : "Xian", "non-dropping-particle" : "", "parse-names" : false, "suffix" : "" }, { "dropping-particle" : "", "family" : "Mikkelsen", "given" : "Tarjei S.", "non-dropping-particle" : "", "parse-names" : false, "suffix" : "" }, { "dropping-particle" : "", "family" : "Gillespie", "given" : "Shawn", "non-dropping-particle" : "", "parse-names" : false, "suffix" : "" }, { "dropping-particle" : "", "family" : "Goren", "given" : "Alon", "non-dropping-particle" : "", "parse-names" : false, "suffix" : "" }, { "dropping-particle" : "", "family" : "Ram", "given" : "Oren", "non-dropping-particle" : "", "parse-names" : false, "suffix" : "" }, { "dropping-particle" : "", "family" : "Zhang", "given" : "Xiaolan", "non-dropping-particle" : "", "parse-names" : false, "suffix" : "" }, { "dropping-particle" : "", "family" : "Wang", "given" : "Li", "non-dropping-particle" : "", "parse-names" : false, "suffix" : "" }, { "dropping-particle" : "", "family" : "Issner", "given" : "Robbyn", "non-dropping-particle" : "", "parse-names" : false, "suffix" : "" }, { "dropping-particle" : "", "family" : "Coyne", "given" : "Michael J.", "non-dropping-particle" : "", "parse-names" : false, "suffix" : "" }, { "dropping-particle" : "", "family" : "Durham", "given" : "Timothy", "non-dropping-particle" : "", "parse-names" : false, "suffix" : "" }, { "dropping-particle" : "", "family" : "Ku", "given" : "Manching", "non-dropping-particle" : "", "parse-names" : false, "suffix" : "" }, { "dropping-particle" : "", "family" : "Truong", "given" : "Thanh", "non-dropping-particle" : "", "parse-names" : false, "suffix" : "" }, { "dropping-particle" : "", "family" : "Eaton", "given" : "Matthew L.", "non-dropping-particle" : "", "parse-names" : false, "suffix" : "" }, { "dropping-particle" : "", "family" : "Dobin", "given" : "Alex", "non-dropping-particle" : "", "parse-names" : false, "suffix" : "" }, { "dropping-particle" : "", "family" : "Tanzer", "given" : "Andrea", "non-dropping-particle" : "", "parse-names" : false, "suffix" : "" }, { "dropping-particle" : "", "family" : "Lagarde", "given" : "Julien", "non-dropping-particle" : "", "parse-names" : false, "suffix" : "" }, { "dropping-particle" : "", "family" : "Lin", "given" : "Wei", "non-dropping-particle" : "", "parse-names" : false, "suffix" : "" }, { "dropping-particle" : "", "family" : "Xue", "given" : "Chenghai", "non-dropping-particle" : "", "parse-names" : false, "suffix" : "" }, { "dropping-particle" : "", "family" : "Williams", "given" : "Brian a.", "non-dropping-particle" : "", "parse-names" : false, "suffix" : "" }, { "dropping-particle" : "", "family" : "Zaleski", "given" : "Chris", "non-dropping-particle" : "", "parse-names" : false, "suffix" : "" }, { "dropping-particle" : "", "family" : "R\u00f6der", "given" : "Maik", "non-dropping-particle" : "", "parse-names" : false, "suffix" : "" }, { "dropping-particle" : "", "family" : "Kokocinski", "given" : "Felix", "non-dropping-particle" : "", "parse-names" : false, "suffix" : "" }, { "dropping-particle" : "", "family" : "Abdelhamid", "given" : "Rehab F.", "non-dropping-particle" : "", "parse-names" : false, "suffix" : "" }, { "dropping-particle" : "", "family" : "Alioto", "given" : "Tyler", "non-dropping-particle" : "", "parse-names" : false, "suffix" : "" }, { "dropping-particle" : "", "family" : "Antoshechkin", "given" : "Igor", "non-dropping-particle" : "", "parse-names" : false, "suffix" : "" }, { "dropping-particle" : "", "family" : "Baer", "given" : "Michael T.", "non-dropping-particle" : "", "parse-names" : false, "suffix" : "" }, { "dropping-particle" : "", "family" : "Batut", "given" : "Philippe", "non-dropping-particle" : "", "parse-names" : false, "suffix" : "" }, { "dropping-particle" : "", "family" : "Bell", "given" : "Ian", "non-dropping-particle" : "", "parse-names" : false, "suffix" : "" }, { "dropping-particle" : "", "family" : "Bell", "given" : "Kimberly", "non-dropping-particle" : "", "parse-names" : false, "suffix" : "" }, { "dropping-particle" : "", "family" : "Chakrabortty", "given" : "Sudipto", "non-dropping-particle" : "", "parse-names" : false, "suffix" : "" }, { "dropping-particle" : "", "family" : "Chrast", "given" : "Jacqueline", "non-dropping-particle" : "", "parse-names" : false, "suffix" : "" }, { "dropping-particle" : "", "family" : "Curado", "given" : "Joao", "non-dropping-particle" : "", "parse-names" : false, "suffix" : "" }, { "dropping-particle" : "", "family" : "Derrien", "given" : "Thomas", "non-dropping-particle" : "", "parse-names" : false, "suffix" : "" }, { "dropping-particle" : "", "family" : "Drenkow", "given" : "Jorg", "non-dropping-particle" : "", "parse-names" : false, "suffix" : "" }, { "dropping-particle" : "", "family" : "Dumais", "given" : "Erica", "non-dropping-particle" : "", "parse-names" : false, "suffix" : "" }, { "dropping-particle" : "", "family" : "Dumais", "given" : "Jackie", "non-dropping-particle" : "", "parse-names" : false, "suffix" : "" }, { "dropping-particle" : "", "family" : "Duttagupta", "given" : "Radha", "non-dropping-particle" : "", "parse-names" : false, "suffix" : "" }, { "dropping-particle" : "", "family" : "Fastuca", "given" : "Megan", "non-dropping-particle" : "", "parse-names" : false, "suffix" : "" }, { "dropping-particle" : "", "family" : "Fejes-Toth", "given" : "Kata", "non-dropping-particle" : "", "parse-names" : false, "suffix" : "" }, { "dropping-particle" : "", "family" : "Ferreira", "given" : "Pedro", "non-dropping-particle" : "", "parse-names" : false, "suffix" : "" }, { "dropping-particle" : "", "family" : "Foissac", "given" : "Sylvain", "non-dropping-particle" : "", "parse-names" : false, "suffix" : "" }, { "dropping-particle" : "", "family" : "Fullwood", "given" : "Melissa J.", "non-dropping-particle" : "", "parse-names" : false, "suffix" : "" }, { "dropping-particle" : "", "family" : "Gao", "given" : "Hui", "non-dropping-particle" : "", "parse-names" : false, "suffix" : "" }, { "dropping-particle" : "", "family" : "Gonzalez", "given" : "David", "non-dropping-particle" : "", "parse-names" : false, "suffix" : "" }, { "dropping-particle" : "", "family" : "Gordon", "given" : "Assaf", "non-dropping-particle" : "", "parse-names" : false, "suffix" : "" }, { "dropping-particle" : "", "family" : "Howald", "given" : "C\u00e9dric", "non-dropping-particle" : "", "parse-names" : false, "suffix" : "" }, { "dropping-particle" : "", "family" : "Jha", "given" : "Sonali", "non-dropping-particle" : "", "parse-names" : false, "suffix" : "" }, { "dropping-particle" : "", "family" : "Johnson", "given" : "Rory", "non-dropping-particle" : "", "parse-names" : false, "suffix" : "" }, { "dropping-particle" : "", "family" : "Kapranov", "given" : "Philipp", "non-dropping-particle" : "", "parse-names" : false, "suffix" : "" }, { "dropping-particle" : "", "family" : "King", "given" : "Brandon", "non-dropping-particle" : "", "parse-names" : false, "suffix" : "" }, { "dropping-particle" : "", "family" : "Kingswood", "given" : "Colin", "non-dropping-particle" : "", "parse-names" : false, "suffix" : "" }, { "dropping-particle" : "", "family" : "Li", "given" : "Guoliang", "non-dropping-particle" : "", "parse-names" : false, "suffix" : "" }, { "dropping-particle" : "", "family" : "Luo", "given" : "Oscar J.", "non-dropping-particle" : "", "parse-names" : false, "suffix" : "" }, { "dropping-particle" : "", "family" : "Park", "given" : "Eddie", "non-dropping-particle" : "", "parse-names" : false, "suffix" : "" }, { "dropping-particle" : "", "family" : "Preall", "given" : "Jonathan B.", "non-dropping-particle" : "", "parse-names" : false, "suffix" : "" }, { "dropping-particle" : "", "family" : "Presaud", "given" : "Kimberly", "non-dropping-particle" : "", "parse-names" : false, "suffix" : "" }, { "dropping-particle" : "", "family" : "Ribeca", "given" : "Paolo", "non-dropping-particle" : "", "parse-names" : false, "suffix" : "" }, { "dropping-particle" : "", "family" : "Robyr", "given" : "Daniel", "non-dropping-particle" : "", "parse-names" : false, "suffix" : "" }, { "dropping-particle" : "", "family" : "Ruan", "given" : "Xiaoan", "non-dropping-particle" : "", "parse-names" : false, "suffix" : "" }, { "dropping-particle" : "", "family" : "Sammeth", "given" : "Michael", "non-dropping-particle" : "", "parse-names" : false, "suffix" : "" }, { "dropping-particle" : "", "family" : "Singh Sandhu", "given" : "Kuljeet", "non-dropping-particle" : "", "parse-names" : false, "suffix" : "" }, { "dropping-particle" : "", "family" : "Schaeffer", "given" : "Lorain", "non-dropping-particle" : "", "parse-names" : false, "suffix" : "" }, { "dropping-particle" : "", "family" : "See", "given" : "Lei-Hoon", "non-dropping-particle" : "", "parse-names" : false, "suffix" : "" }, { "dropping-particle" : "", "family" : "Shahab", "given" : "Atif", "non-dropping-particle" : "", "parse-names" : false, "suffix" : "" }, { "dropping-particle" : "", "family" : "Skancke", "given" : "Jorgen", "non-dropping-particle" : "", "parse-names" : false, "suffix" : "" }, { "dropping-particle" : "", "family" : "Maria Suzuki", "given" : "Ana", "non-dropping-particle" : "", "parse-names" : false, "suffix" : "" }, { "dropping-particle" : "", "family" : "Takahashi", "given" : "Hazuki", "non-dropping-particle" : "", "parse-names" : false, "suffix" : "" }, { "dropping-particle" : "", "family" : "Tilgner", "given" : "Hagen", "non-dropping-particle" : "", "parse-names" : false, "suffix" : "" }, { "dropping-particle" : "", "family" : "Trout", "given" : "Diane", "non-dropping-particle" : "", "parse-names" : false, "suffix" : "" }, { "dropping-particle" : "", "family" : "Walters", "given" : "Nathalie", "non-dropping-particle" : "", "parse-names" : false, "suffix" : "" }, { "dropping-particle" : "", "family" : "Wang", "given" : "Huaien", "non-dropping-particle" : "", "parse-names" : false, "suffix" : "" }, { "dropping-particle" : "", "family" : "Hayashizaki", "given" : "Yoshihide", "non-dropping-particle" : "", "parse-names" : false, "suffix" : "" }, { "dropping-particle" : "", "family" : "Reymond", "given" : "Alexandre", "non-dropping-particle" : "", "parse-names" : false, "suffix" : "" }, { "dropping-particle" : "", "family" : "Antonarakis", "given" : "Stylianos E.", "non-dropping-particle" : "", "parse-names" : false, "suffix" : "" }, { "dropping-particle" : "", "family" : "Hannon", "given" : "Gregory J.", "non-dropping-particle" : "", "parse-names" : false, "suffix" : "" }, { "dropping-particle" : "", "family" : "Ruan", "given" : "Yijun", "non-dropping-particle" : "", "parse-names" : false, "suffix" : "" }, { "dropping-particle" : "", "family" : "Carninci", "given" : "Piero", "non-dropping-particle" : "", "parse-names" : false, "suffix" : "" }, { "dropping-particle" : "", "family" : "Sloan", "given" : "Cricket a.", "non-dropping-particle" : "", "parse-names" : false, "suffix" : "" }, { "dropping-particle" : "", "family" : "Learned", "given" : "Katrina", "non-dropping-particle" : "", "parse-names" : false, "suffix" : "" }, { "dropping-particle" : "", "family" : "Malladi", "given" : "Venkat S.", "non-dropping-particle" : "", "parse-names" : false, "suffix" : "" }, { "dropping-particle" : "", "family" : "Wong", "given" : "Matthew C.", "non-dropping-particle" : "", "parse-names" : false, "suffix" : "" }, { "dropping-particle" : "", "family" : "Barber", "given" : "Galt P.", "non-dropping-particle" : "", "parse-names" : false, "suffix" : "" }, { "dropping-particle" : "", "family" : "Cline", "given" : "Melissa S.", "non-dropping-particle" : "", "parse-names" : false, "suffix" : "" }, { "dropping-particle" : "", "family" : "Dreszer", "given" : "Timothy R.", "non-dropping-particle" : "", "parse-names" : false, "suffix" : "" }, { "dropping-particle" : "", "family" : "Heitner", "given" : "Steven G.", "non-dropping-particle" : "", "parse-names" : false, "suffix" : "" }, { "dropping-particle" : "", "family" : "Karolchik", "given" : "Donna", "non-dropping-particle" : "", "parse-names" : false, "suffix" : "" }, { "dropping-particle" : "", "family" : "Kirkup", "given" : "Vanessa M.", "non-dropping-particle" : "", "parse-names" : false, "suffix" : "" }, { "dropping-particle" : "", "family" : "Meyer", "given" : "Laurence R.", "non-dropping-particle" : "", "parse-names" : false, "suffix" : "" }, { "dropping-particle" : "", "family" : "Long", "given" : "Jeffrey C.", "non-dropping-particle" : "", "parse-names" : false, "suffix" : "" }, { "dropping-particle" : "", "family" : "Maddren", "given" : "Morgan", "non-dropping-particle" : "", "parse-names" : false, "suffix" : "" }, { "dropping-particle" : "", "family" : "Raney", "given" : "Brian J.", "non-dropping-particle" : "", "parse-names" : false, "suffix" : "" }, { "dropping-particle" : "", "family" : "Grasfeder", "given" : "Linda L.", "non-dropping-particle" : "", "parse-names" : false, "suffix" : "" }, { "dropping-particle" : "", "family" : "Giresi", "given" : "Paul G.", "non-dropping-particle" : "", "parse-names" : false, "suffix" : "" }, { "dropping-particle" : "", "family" : "Battenhouse", "given" : "Anna", "non-dropping-particle" : "", "parse-names" : false, "suffix" : "" }, { "dropping-particle" : "", "family" : "Sheffield", "given" : "Nathan C.", "non-dropping-particle" : "", "parse-names" : false, "suffix" : "" }, { "dropping-particle" : "", "family" : "Showers", "given" : "Kimberly a.", "non-dropping-particle" : "", "parse-names" : false, "suffix" : "" }, { "dropping-particle" : "", "family" : "London", "given" : "Darin", "non-dropping-particle" : "", "parse-names" : false, "suffix" : "" }, { "dropping-particle" : "", "family" : "Bhinge", "given" : "Akshay a.", "non-dropping-particle" : "", "parse-names" : false, "suffix" : "" }, { "dropping-particle" : "", "family" : "Shestak", "given" : "Christopher", "non-dropping-particle" : "", "parse-names" : false, "suffix" : "" }, { "dropping-particle" : "", "family" : "Schaner", "given" : "Matthew R.", "non-dropping-particle" : "", "parse-names" : false, "suffix" : "" }, { "dropping-particle" : "", "family" : "Ki Kim", "given" : "Seul", "non-dropping-particle" : "", "parse-names" : false, "suffix" : "" }, { "dropping-particle" : "", "family" : "Zhang", "given" : "Zhuzhu Z.", "non-dropping-particle" : "", "parse-names" : false, "suffix" : "" }, { "dropping-particle" : "", "family" : "Mieczkowski", "given" : "Piotr a.", "non-dropping-particle" : "", "parse-names" : false, "suffix" : "" }, { "dropping-particle" : "", "family" : "Mieczkowska", "given" : "Joanna O.", "non-dropping-particle" : "", "parse-names" : false, "suffix" : "" }, { "dropping-particle" : "", "family" : "Liu", "given" : "Zheng", "non-dropping-particle" : "", "parse-names" : false, "suffix" : "" }, { "dropping-particle" : "", "family" : "McDaniell", "given" : "Ryan M.", "non-dropping-particle" : "", "parse-names" : false, "suffix" : "" }, { "dropping-particle" : "", "family" : "Ni", "given" : "Yunyun", "non-dropping-particle" : "", "parse-names" : false, "suffix" : "" }, { "dropping-particle" : "", "family" : "Rashid", "given" : "Naim U.", "non-dropping-particle" : "", "parse-names" : false, "suffix" : "" }, { "dropping-particle" : "", "family" : "Jae Kim", "given" : "Min", "non-dropping-particle" : "", "parse-names" : false, "suffix" : "" }, { "dropping-particle" : "", "family" : "Adar", "given" : "Sheera", "non-dropping-particle" : "", "parse-names" : false, "suffix" : "" }, { "dropping-particle" : "", "family" : "Zhang", "given" : "Zhancheng", "non-dropping-particle" : "", "parse-names" : false, "suffix" : "" }, { "dropping-particle" : "", "family" : "Wang", "given" : "Tianyuan", "non-dropping-particle" : "", "parse-names" : false, "suffix" : "" }, { "dropping-particle" : "", "family" : "Winter", "given" : "Deborah", "non-dropping-particle" : "", "parse-names" : false, "suffix" : "" }, { "dropping-particle" : "", "family" : "Keefe", "given" : "Damian", "non-dropping-particle" : "", "parse-names" : false, "suffix" : "" }, { "dropping-particle" : "", "family" : "Iyer", "given" : "Vishwanath R.", "non-dropping-particle" : "", "parse-names" : false, "suffix" : "" }, { "dropping-particle" : "", "family" : "Zheng", "given" : "Meizhen", "non-dropping-particle" : "", "parse-names" : false, "suffix" : "" }, { "dropping-particle" : "", "family" : "Wang", "given" : "Ping", "non-dropping-particle" : "", "parse-names" : false, "suffix" : "" }, { "dropping-particle" : "", "family" : "Gertz", "given" : "Jason", "non-dropping-particle" : "", "parse-names" : false, "suffix" : "" }, { "dropping-particle" : "", "family" : "Vielmetter", "given" : "Jost", "non-dropping-particle" : "", "parse-names" : false, "suffix" : "" }, { "dropping-particle" : "", "family" : "Christopher Partridge", "given" : "E.", "non-dropping-particle" : "", "parse-names" : false, "suffix" : "" }, { "dropping-particle" : "", "family" : "Varley", "given" : "Katherine E.", "non-dropping-particle" : "", "parse-names" : false, "suffix" : "" }, { "dropping-particle" : "", "family" : "Gasper", "given" : "Clarke", "non-dropping-particle" : "", "parse-names" : false, "suffix" : "" }, { "dropping-particle" : "", "family" : "Bansal", "given" : "Anita", "non-dropping-particle" : "", "parse-names" : false, "suffix" : "" }, { "dropping-particle" : "", "family" : "Pepke", "given" : "Shirley", "non-dropping-particle" : "", "parse-names" : false, "suffix" : "" }, { "dropping-particle" : "", "family" : "Jain", "given" : "Preti", "non-dropping-particle" : "", "parse-names" : false, "suffix" : "" }, { "dropping-particle" : "", "family" : "Amrhein", "given" : "Henry", "non-dropping-particle" : "", "parse-names" : false, "suffix" : "" }, { "dropping-particle" : "", "family" : "Bowling", "given" : "Kevin M.", "non-dropping-particle" : "", "parse-names" : false, "suffix" : "" }, { "dropping-particle" : "", "family" : "Anaya", "given" : "Michael", "non-dropping-particle" : "", "parse-names" : false, "suffix" : "" }, { "dropping-particle" : "", "family" : "Cross", "given" : "Marie K.", "non-dropping-particle" : "", "parse-names" : false, "suffix" : "" }, { "dropping-particle" : "", "family" : "Muratet", "given" : "Michael a.", "non-dropping-particle" : "", "parse-names" : false, "suffix" : "" }, { "dropping-particle" : "", "family" : "Newberry", "given" : "Kimberly M.", "non-dropping-particle" : "", "parse-names" : false, "suffix" : "" }, { "dropping-particle" : "", "family" : "McCue", "given" : "Kenneth", "non-dropping-particle" : "", "parse-names" : false, "suffix" : "" }, { "dropping-particle" : "", "family" : "Nesmith", "given" : "Amy S.", "non-dropping-particle" : "", "parse-names" : false, "suffix" : "" }, { "dropping-particle" : "", "family" : "Fisher-Aylor", "given" : "Katherine I.", "non-dropping-particle" : "", "parse-names" : false, "suffix" : "" }, { "dropping-particle" : "", "family" : "Pusey", "given" : "Barbara", "non-dropping-particle" : "", "parse-names" : false, "suffix" : "" }, { "dropping-particle" : "", "family" : "DeSalvo", "given" : "Gilberto", "non-dropping-particle" : "", "parse-names" : false, "suffix" : "" }, { "dropping-particle" : "", "family" : "Parker", "given" : "Stephanie L.", "non-dropping-particle" : "", "parse-names" : false, "suffix" : "" }, { "dropping-particle" : "", "family" : "Balasubramanian", "given" : "Sreeram", "non-dropping-particle" : "", "parse-names" : false, "suffix" : "" }, { "dropping-particle" : "", "family" : "Davis", "given" : "Nicholas S.", "non-dropping-particle" : "", "parse-names" : false, "suffix" : "" }, { "dropping-particle" : "", "family" : "Meadows", "given" : "Sarah K.", "non-dropping-particle" : "", "parse-names" : false, "suffix" : "" }, { "dropping-particle" : "", "family" : "Eggleston", "given" : "Tracy", "non-dropping-particle" : "", "parse-names" : false, "suffix" : "" }, { "dropping-particle" : "", "family" : "Scott Newberry", "given" : "J.", "non-dropping-particle" : "", "parse-names" : false, "suffix" : "" }, { "dropping-particle" : "", "family" : "Levy", "given" : "Shawn E.", "non-dropping-particle" : "", "parse-names" : false, "suffix" : "" }, { "dropping-particle" : "", "family" : "Absher", "given" : "Devin M.", "non-dropping-particle" : "", "parse-names" : false, "suffix" : "" }, { "dropping-particle" : "", "family" : "Wong", "given" : "Wing H.", "non-dropping-particle" : "", "parse-names" : false, "suffix" : "" }, { "dropping-particle" : "", "family" : "Blow", "given" : "Matthew J.", "non-dropping-particle" : "", "parse-names" : false, "suffix" : "" }, { "dropping-particle" : "", "family" : "Visel", "given" : "Axel", "non-dropping-particle" : "", "parse-names" : false, "suffix" : "" }, { "dropping-particle" : "", "family" : "Pennachio", "given" : "Len a.", "non-dropping-particle" : "", "parse-names" : false, "suffix" : "" }, { "dropping-particle" : "", "family" : "Petrykowska", "given" : "Hanna M.", "non-dropping-particle" : "", "parse-names" : false, "suffix" : "" }, { "dropping-particle" : "", "family" : "Abyzov", "given" : "Alexej", "non-dropping-particle" : "", "parse-names" : false, "suffix" : "" }, { "dropping-particle" : "", "family" : "Aken", "given" : "Bronwen", "non-dropping-particle" : "", "parse-names" : false, "suffix" : "" }, { "dropping-particle" : "", "family" : "Barrell", "given" : "Daniel", "non-dropping-particle" : "", "parse-names" : false, "suffix" : "" }, { "dropping-particle" : "", "family" : "Barson", "given" : "Gemma", "non-dropping-particle" : "", "parse-names" : false, "suffix" : "" }, { "dropping-particle" : "", "family" : "Berry", "given" : "Andrew", "non-dropping-particle" : "", "parse-names" : false, "suffix" : "" }, { "dropping-particle" : "", "family" : "Bignell", "given" : "Alexandra", "non-dropping-particle" : "", "parse-names" : false, "suffix" : "" }, { "dropping-particle" : "", "family" : "Boychenko", "given" : "Veronika", "non-dropping-particle" : "", "parse-names" : false, "suffix" : "" }, { "dropping-particle" : "", "family" : "Bussotti", "given" : "Giovanni", "non-dropping-particle" : "", "parse-names" : false, "suffix" : "" }, { "dropping-particle" : "", "family" : "Davidson", "given" : "Claire", "non-dropping-particle" : "", "parse-names" : false, "suffix" : "" }, { "dropping-particle" : "", "family" : "Despacio-Reyes", "given" : "Gloria", "non-dropping-particle" : "", "parse-names" : false, "suffix" : "" }, { "dropping-particle" : "", "family" : "Diekhans", "given" : "Mark", "non-dropping-particle" : "", "parse-names" : false, "suffix" : "" }, { "dropping-particle" : "", "family" : "Ezkurdia", "given" : "Iakes", "non-dropping-particle" : "", "parse-names" : false, "suffix" : "" }, { "dropping-particle" : "", "family" : "Frankish", "given" : "Adam", "non-dropping-particle" : "", "parse-names" : false, "suffix" : "" }, { "dropping-particle" : "", "family" : "Gilbert", "given" : "James", "non-dropping-particle" : "", "parse-names" : false, "suffix" : "" }, { "dropping-particle" : "", "family" : "Manuel Gonzalez", "given" : "Jose", "non-dropping-particle" : "", "parse-names" : false, "suffix" : "" }, { "dropping-particle" : "", "family" : "Griffiths", "given" : "Ed", "non-dropping-particle" : "", "parse-names" : false, "suffix" : "" }, { "dropping-particle" : "", "family" : "Harte", "given" : "Rachel", "non-dropping-particle" : "", "parse-names" : false, "suffix" : "" }, { "dropping-particle" : "", "family" : "Hendrix", "given" : "David a.", "non-dropping-particle" : "", "parse-names" : false, "suffix" : "" }, { "dropping-particle" : "", "family" : "Hunt", "given" : "Toby", "non-dropping-particle" : "", "parse-names" : false, "suffix" : "" }, { "dropping-particle" : "", "family" : "Jungreis", "given" : "Irwin", "non-dropping-particle" : "", "parse-names" : false, "suffix" : "" }, { "dropping-particle" : "", "family" : "Kay", "given" : "Mike", "non-dropping-particle" : "", "parse-names" : false, "suffix" : "" }, { "dropping-particle" : "", "family" : "Khurana", "given" : "Ekta", "non-dropping-particle" : "", "parse-names" : false, "suffix" : "" }, { "dropping-particle" : "", "family" : "Leng", "given" : "Jing", "non-dropping-particle" : "", "parse-names" : false, "suffix" : "" }, { "dropping-particle" : "", "family" : "Lin", "given" : "Michael F.", "non-dropping-particle" : "", "parse-names" : false, "suffix" : "" }, { "dropping-particle" : "", "family" : "Loveland", "given" : "Jane", "non-dropping-particle" : "", "parse-names" : false, "suffix" : "" }, { "dropping-particle" : "", "family" : "Lu", "given" : "Zhi", "non-dropping-particle" : "", "parse-names" : false, "suffix" : "" }, { "dropping-particle" : "", "family" : "Manthravadi", "given" : "Deepa", "non-dropping-particle" : "", "parse-names" : false, "suffix" : "" }, { "dropping-particle" : "", "family" : "Mariotti", "given" : "Marco", "non-dropping-particle" : "", "parse-names" : false, "suffix" : "" }, { "dropping-particle" : "", "family" : "Mudge", "given" : "Jonathan", "non-dropping-particle" : "", "parse-names" : false, "suffix" : "" }, { "dropping-particle" : "", "family" : "Mukherjee", "given" : "Gaurab", "non-dropping-particle" : "", "parse-names" : false, "suffix" : "" }, { "dropping-particle" : "", "family" : "Notredame", "given" : "Cedric", "non-dropping-particle" : "", "parse-names" : false, "suffix" : "" }, { "dropping-particle" : "", "family" : "Pei", "given" : "Baikang", "non-dropping-particle" : "", "parse-names" : false, "suffix" : "" }, { "dropping-particle" : "", "family" : "Manuel Rodriguez", "given" : "Jose", "non-dropping-particle" : "", "parse-names" : false, "suffix" : "" }, { "dropping-particle" : "", "family" : "Saunders", "given" : "Gary", "non-dropping-particle" : "", "parse-names" : false, "suffix" : "" }, { "dropping-particle" : "", "family" : "Sboner", "given" : "Andrea", "non-dropping-particle" : "", "parse-names" : false, "suffix" : "" }, { "dropping-particle" : "", "family" : "Searle", "given" : "Stephen", "non-dropping-particle" : "", "parse-names" : false, "suffix" : "" }, { "dropping-particle" : "", "family" : "Sisu", "given" : "Cristina", "non-dropping-particle" : "", "parse-names" : false, "suffix" : "" }, { "dropping-particle" : "", "family" : "Snow", "given" : "Catherine", "non-dropping-particle" : "", "parse-names" : false, "suffix" : "" }, { "dropping-particle" : "", "family" : "Steward", "given" : "Charlie", "non-dropping-particle" : "", "parse-names" : false, "suffix" : "" }, { "dropping-particle" : "", "family" : "Tapanari", "given" : "Electra", "non-dropping-particle" : "", "parse-names" : false, "suffix" : "" }, { "dropping-particle" : "", "family" : "Tress", "given" : "Michael L.", "non-dropping-particle" : "", "parse-names" : false, "suffix" : "" }, { "dropping-particle" : "", "family" : "Baren", "given" : "Marijke J.", "non-dropping-particle" : "van", "parse-names" : false, "suffix" : "" }, { "dropping-particle" : "", "family" : "Washietl", "given" : "Stefan", "non-dropping-particle" : "", "parse-names" : false, "suffix" : "" }, { "dropping-particle" : "", "family" : "Wilming", "given" : "Laurens", "non-dropping-particle" : "", "parse-names" : false, "suffix" : "" }, { "dropping-particle" : "", "family" : "Zadissa", "given" : "Amonida", "non-dropping-particle" : "", "parse-names" : false, "suffix" : "" }, { "dropping-particle" : "", "family" : "Zhang", "given" : "Zhengdong", "non-dropping-particle" : "", "parse-names" : false, "suffix" : "" }, { "dropping-particle" : "", "family" : "Brent", "given" : "Michael", "non-dropping-particle" : "", "parse-names" : false, "suffix" : "" }, { "dropping-particle" : "", "family" : "Haussler", "given" : "David", "non-dropping-particle" : "", "parse-names" : false, "suffix" : "" }, { "dropping-particle" : "", "family" : "Valencia", "given" : "Alfonso", "non-dropping-particle" : "", "parse-names" : false, "suffix" : "" }, { "dropping-particle" : "", "family" : "Addleman", "given" : "Nick", "non-dropping-particle" : "", "parse-names" : false, "suffix" : "" }, { "dropping-particle" : "", "family" : "Alexander", "given" : "Roger P.", "non-dropping-particle" : "", "parse-names" : false, "suffix" : "" }, { "dropping-particle" : "", "family" : "Auerbach", "given" : "Raymond K.", "non-dropping-particle" : "", "parse-names" : false, "suffix" : "" }, { "dropping-particle" : "", "family" : "Balasubramanian", "given" : "Suganthi", "non-dropping-particle" : "", "parse-names" : false, "suffix" : "" }, { "dropping-particle" : "", "family" : "Bettinger", "given" : "Keith", "non-dropping-particle" : "", "parse-names" : false, "suffix" : "" }, { "dropping-particle" : "", "family" : "Bhardwaj", "given" : "Nitin", "non-dropping-particle" : "", "parse-names" : false, "suffix" : "" }, { "dropping-particle" : "", "family" : "Boyle", "given" : "Alan P.", "non-dropping-particle" : "", "parse-names" : false, "suffix" : "" }, { "dropping-particle" : "", "family" : "Cao", "given" : "Alina R.", "non-dropping-particle" : "", "parse-names" : false, "suffix" : "" }, { "dropping-particle" : "", "family" : "Cayting", "given" : "Philip", "non-dropping-particle" : "", "parse-names" : false, "suffix" : "" }, { "dropping-particle" : "", "family" : "Charos", "given" : "Alexandra", "non-dropping-particle" : "", "parse-names" : false, "suffix" : "" }, { "dropping-particle" : "", "family" : "Cheng", "given" : "Yong", "non-dropping-particle" : "", "parse-names" : false, "suffix" : "" }, { "dropping-particle" : "", "family" : "Eastman", "given" : "Catharine", "non-dropping-particle" : "", "parse-names" : false, "suffix" : "" }, { "dropping-particle" : "", "family" : "Euskirchen", "given" : "Ghia", "non-dropping-particle" : "", "parse-names" : false, "suffix" : "" }, { "dropping-particle" : "", "family" : "Fleming", "given" : "Joseph D.", "non-dropping-particle" : "", "parse-names" : false, "suffix" : "" }, { "dropping-particle" : "", "family" : "Grubert", "given" : "Fabian", "non-dropping-particle" : "", "parse-names" : false, "suffix" : "" }, { "dropping-particle" : "", "family" : "Habegger", "given" : "Lukas", "non-dropping-particle" : "", "parse-names" : false, "suffix" : "" }, { "dropping-particle" : "", "family" : "Hariharan", "given" : "Manoj", "non-dropping-particle" : "", "parse-names" : false, "suffix" : "" }, { "dropping-particle" : "", "family" : "Harmanci", "given" : "Arif", "non-dropping-particle" : "", "parse-names" : false, "suffix" : "" }, { "dropping-particle" : "", "family" : "Iyengar", "given" : "Sushma", "non-dropping-particle" : "", "parse-names" : false, "suffix" : "" }, { "dropping-particle" : "", "family" : "Jin", "given" : "Victor X.", "non-dropping-particle" : "", "parse-names" : false, "suffix" : "" }, { "dropping-particle" : "", "family" : "Karczewski", "given" : "Konrad J.", "non-dropping-particle" : "", "parse-names" : false, "suffix" : "" }, { "dropping-particle" : "", "family" : "Kasowski", "given" : "Maya", "non-dropping-particle" : "", "parse-names" : false, "suffix" : "" }, { "dropping-particle" : "", "family" : "Lacroute", "given" : "Phil", "non-dropping-particle" : "", "parse-names" : false, "suffix" : "" }, { "dropping-particle" : "", "family" : "Lam", "given" : "Hugo", "non-dropping-particle" : "", "parse-names" : false, "suffix" : "" }, { "dropping-particle" : "", "family" : "Lamarre-Vincent", "given" : "Nathan", "non-dropping-particle" : "", "parse-names" : false, "suffix" : "" }, { "dropping-particle" : "", "family" : "Lian", "given" : "Jin", "non-dropping-particle" : "", "parse-names" : false, "suffix" : "" }, { "dropping-particle" : "", "family" : "Lindahl-Allen", "given" : "Marianne", "non-dropping-particle" : "", "parse-names" : false, "suffix" : "" }, { "dropping-particle" : "", "family" : "Min", "given" : "Renqiang", "non-dropping-particle" : "", "parse-names" : false, "suffix" : "" }, { "dropping-particle" : "", "family" : "Miotto", "given" : "Benoit", "non-dropping-particle" : "", "parse-names" : false, "suffix" : "" }, { "dropping-particle" : "", "family" : "Monahan", "given" : "Hannah", "non-dropping-particle" : "", "parse-names" : false, "suffix" : "" }, { "dropping-particle" : "", "family" : "Moqtaderi", "given" : "Zarmik", "non-dropping-particle" : "", "parse-names" : false, "suffix" : "" }, { "dropping-particle" : "", "family" : "Mu", "given" : "Xinmeng J.", "non-dropping-particle" : "", "parse-names" : false, "suffix" : "" }, { "dropping-particle" : "", "family" : "O\u2019Geen", "given" : "Henriette", "non-dropping-particle" : "", "parse-names" : false, "suffix" : "" }, { "dropping-particle" : "", "family" : "Ouyang", "given" : "Zhengqing", "non-dropping-particle" : "", "parse-names" : false, "suffix" : "" }, { "dropping-particle" : "", "family" : "Patacsil", "given" : "Dorrelyn", "non-dropping-particle" : "", "parse-names" : false, "suffix" : "" }, { "dropping-particle" : "", "family" : "Raha", "given" : "Debasish", "non-dropping-particle" : "", "parse-names" : false, "suffix" : "" }, { "dropping-particle" : "", "family" : "Ramirez", "given" : "Lucia", "non-dropping-particle" : "", "parse-names" : false, "suffix" : "" }, { "dropping-particle" : "", "family" : "Reed", "given" : "Brian", "non-dropping-particle" : "", "parse-names" : false, "suffix" : "" }, { "dropping-particle" : "", "family" : "Shi", "given" : "Minyi", "non-dropping-particle" : "", "parse-names" : false, "suffix" : "" }, { "dropping-particle" : "", "family" : "Slifer", "given" : "Teri", "non-dropping-particle" : "", "parse-names" : false, "suffix" : "" }, { "dropping-particle" : "", "family" : "Witt", "given" : "Heather", "non-dropping-particle" : "", "parse-names" : false, "suffix" : "" }, { "dropping-particle" : "", "family" : "Wu", "given" : "Linfeng", "non-dropping-particle" : "", "parse-names" : false, "suffix" : "" }, { "dropping-particle" : "", "family" : "Xu", "given" : "Xiaoqin", "non-dropping-particle" : "", "parse-names" : false, "suffix" : "" }, { "dropping-particle" : "", "family" : "Yan", "given" : "Koon-Kiu", "non-dropping-particle" : "", "parse-names" : false, "suffix" : "" }, { "dropping-particle" : "", "family" : "Yang", "given" : "Xinqiong", "non-dropping-particle" : "", "parse-names" : false, "suffix" : "" }, { "dropping-particle" : "", "family" : "Struhl", "given" : "Kevin", "non-dropping-particle" : "", "parse-names" : false, "suffix" : "" }, { "dropping-particle" : "", "family" : "Weissman", "given" : "Sherman M.", "non-dropping-particle" : "", "parse-names" : false, "suffix" : "" }, { "dropping-particle" : "", "family" : "Penalva", "given" : "Luiz O.", "non-dropping-particle" : "", "parse-names" : false, "suffix" : "" }, { "dropping-particle" : "", "family" : "Karmakar", "given" : "Subhradip", "non-dropping-particle" : "", "parse-names" : false, "suffix" : "" }, { "dropping-particle" : "", "family" : "Bhanvadia", "given" : "Raj R.", "non-dropping-particle" : "", "parse-names" : false, "suffix" : "" }, { "dropping-particle" : "", "family" : "Choudhury", "given" : "Alina", "non-dropping-particle" : "", "parse-names" : false, "suffix" : "" }, { "dropping-particle" : "", "family" : "Domanus", "given" : "Marc", "non-dropping-particle" : "", "parse-names" : false, "suffix" : "" }, { "dropping-particle" : "", "family" : "Ma", "given" : "Lijia", "non-dropping-particle" : "", "parse-names" : false, "suffix" : "" }, { "dropping-particle" : "", "family" : "Moran", "given" : "Jennifer", "non-dropping-particle" : "", "parse-names" : false, "suffix" : "" }, { "dropping-particle" : "", "family" : "Victorsen", "given" : "Alec", "non-dropping-particle" : "", "parse-names" : false, "suffix" : "" }, { "dropping-particle" : "", "family" : "Auer", "given" : "Thomas", "non-dropping-particle" : "", "parse-names" : false, "suffix" : "" }, { "dropping-particle" : "", "family" : "Centanin", "given" : "Lazaro", "non-dropping-particle" : "", "parse-names" : false, "suffix" : "" }, { "dropping-particle" : "", "family" : "Eichenlaub", "given" : "Michael", "non-dropping-particle" : "", "parse-names" : false, "suffix" : "" }, { "dropping-particle" : "", "family" : "Gruhl", "given" : "Franziska", "non-dropping-particle" : "", "parse-names" : false, "suffix" : "" }, { "dropping-particle" : "", "family" : "Heermann", "given" : "Stephan", "non-dropping-particle" : "", "parse-names" : false, "suffix" : "" }, { "dropping-particle" : "", "family" : "Hoeckendorf", "given" : "Burkhard", "non-dropping-particle" : "", "parse-names" : false, "suffix" : "" }, { "dropping-particle" : "", "family" : "Inoue", "given" : "Daigo", "non-dropping-particle" : "", "parse-names" : false, "suffix" : "" }, { "dropping-particle" : "", "family" : "Kellner", "given" : "Tanja", "non-dropping-particle" : "", "parse-names" : false, "suffix" : "" }, { "dropping-particle" : "", "family" : "Kirchmaier", "given" : "Stephan", "non-dropping-particle" : "", "parse-names" : false, "suffix" : "" }, { "dropping-particle" : "", "family" : "Mueller", "given" : "Claudia", "non-dropping-particle" : "", "parse-names" : false, "suffix" : "" }, { "dropping-particle" : "", "family" : "Reinhardt", "given" : "Robert", "non-dropping-particle" : "", "parse-names" : false, "suffix" : "" }, { "dropping-particle" : "", "family" : "Schertel", "given" : "Lea", "non-dropping-particle" : "", "parse-names" : false, "suffix" : "" }, { "dropping-particle" : "", "family" : "Schneider", "given" : "Stephanie", "non-dropping-particle" : "", "parse-names" : false, "suffix" : "" }, { "dropping-particle" : "", "family" : "Sinn", "given" : "Rebecca", "non-dropping-particle" : "", "parse-names" : false, "suffix" : "" }, { "dropping-particle" : "", "family" : "Wittbrodt", "given" : "Beate", "non-dropping-particle" : "", "parse-names" : false, "suffix" : "" }, { "dropping-particle" : "", "family" : "Wittbrodt", "given" : "Jochen", "non-dropping-particle" : "", "parse-names" : false, "suffix" : "" }, { "dropping-particle" : "", "family" : "Jain", "given" : "Gaurav", "non-dropping-particle" : "", "parse-names" : false, "suffix" : "" }, { "dropping-particle" : "", "family" : "Balasundaram", "given" : "Gayathri", "non-dropping-particle" : "", "parse-names" : false, "suffix" : "" }, { "dropping-particle" : "", "family" : "Bates", "given" : "Daniel L.", "non-dropping-particle" : "", "parse-names" : false, "suffix" : "" }, { "dropping-particle" : "", "family" : "Byron", "given" : "Rachel", "non-dropping-particle" : "", "parse-names" : false, "suffix" : "" }, { "dropping-particle" : "", "family" : "Canfield", "given" : "Theresa K.", "non-dropping-particle" : "", "parse-names" : false, "suffix" : "" }, { "dropping-particle" : "", "family" : "Diegel", "given" : "Morgan J.", "non-dropping-particle" : "", "parse-names" : false, "suffix" : "" }, { "dropping-particle" : "", "family" : "Dunn", "given" : "Douglas", "non-dropping-particle" : "", "parse-names" : false, "suffix" : "" }, { "dropping-particle" : "", "family" : "Ebersol", "given" : "Abigail K.", "non-dropping-particle" : "", "parse-names" : false, "suffix" : "" }, { "dropping-particle" : "", "family" : "Frum", "given" : "Tristan", "non-dropping-particle" : "", "parse-names" : false, "suffix" : "" }, { "dropping-particle" : "", "family" : "Garg", "given" : "Kavita", "non-dropping-particle" : "", "parse-names" : false, "suffix" : "" }, { "dropping-particle" : "", "family" : "Gist", "given" : "Erica", "non-dropping-particle" : "", "parse-names" : false, "suffix" : "" }, { "dropping-particle" : "", "family" : "Scott Hansen", "given" : "R.", "non-dropping-particle" : "", "parse-names" : false, "suffix" : "" }, { "dropping-particle" : "", "family" : "Boatman", "given" : "Lisa", "non-dropping-particle" : "", "parse-names" : false, "suffix" : "" }, { "dropping-particle" : "", "family" : "Haugen", "given" : "Eric", "non-dropping-particle" : "", "parse-names" : false, "suffix" : "" }, { "dropping-particle" : "", "family" : "Humbert", "given" : "Richard", "non-dropping-particle" : "", "parse-names" : false, "suffix" : "" }, { "dropping-particle" : "", "family" : "Johnson", "given" : "Audra K.", "non-dropping-particle" : "", "parse-names" : false, "suffix" : "" }, { "dropping-particle" : "", "family" : "Johnson", "given" : "Ericka M.", "non-dropping-particle" : "", "parse-names" : false, "suffix" : "" }, { "dropping-particle" : "V.", "family" : "Kutyavin", "given" : "Tattyana", "non-dropping-particle" : "", "parse-names" : false, "suffix" : "" }, { "dropping-particle" : "", "family" : "Lee", "given" : "Kristen", "non-dropping-particle" : "", "parse-names" : false, "suffix" : "" }, { "dropping-particle" : "", "family" : "Lotakis", "given" : "Dimitra", "non-dropping-particle" : "", "parse-names" : false, "suffix" : "" }, { "dropping-particle" : "", "family" : "Maurano", "given" : "Matthew T.", "non-dropping-particle" : "", "parse-names" : false, "suffix" : "" }, { "dropping-particle" : "", "family" : "Neph", "given" : "Shane J.", "non-dropping-particle" : "", "parse-names" : false, "suffix" : "" }, { "dropping-particle" : "V.", "family" : "Neri", "given" : "Fiedencio", "non-dropping-particle" : "", "parse-names" : false, "suffix" : "" }, { "dropping-particle" : "", "family" : "Nguyen", "given" : "Eric D.", "non-dropping-particle" : "", "parse-names" : false, "suffix" : "" }, { "dropping-particle" : "", "family" : "Qu", "given" : "Hongzhu", "non-dropping-particle" : "", "parse-names" : false, "suffix" : "" }, { "dropping-particle" : "", "family" : "Reynolds", "given" : "Alex P.", "non-dropping-particle" : "", "parse-names" : false, "suffix" : "" }, { "dropping-particle" : "", "family" : "Roach", "given" : "Vaughn", "non-dropping-particle" : "", "parse-names" : false, "suffix" : "" }, { "dropping-particle" : "", "family" : "Rynes", "given" : "Eric", "non-dropping-particle" : "", "parse-names" : false, "suffix" : "" }, { "dropping-particle" : "", "family" : "Sanchez", "given" : "Minerva E.", "non-dropping-particle" : "", "parse-names" : false, "suffix" : "" }, { "dropping-particle" : "", "family" : "Sandstrom", "given" : "Richard S.", "non-dropping-particle" : "", "parse-names" : false, "suffix" : "" }, { "dropping-particle" : "", "family" : "Shafer", "given" : "Anthony O.", "non-dropping-particle" : "", "parse-names" : false, "suffix" : "" }, { "dropping-particle" : "", "family" : "Stergachis", "given" : "Andrew B.", "non-dropping-particle" : "", "parse-names" : false, "suffix" : "" }, { "dropping-particle" : "", "family" : "Thomas", "given" : "Sean", "non-dropping-particle" : "", "parse-names" : false, "suffix" : "" }, { "dropping-particle" : "", "family" : "Vernot", "given" : "Benjamin", "non-dropping-particle" : "", "parse-names" : false, "suffix" : "" }, { "dropping-particle" : "", "family" : "Vierstra", "given" : "Jeff", "non-dropping-particle" : "", "parse-names" : false, "suffix" : "" }, { "dropping-particle" : "", "family" : "Vong", "given" : "Shinny", "non-dropping-particle" : "", "parse-names" : false, "suffix" : "" }, { "dropping-particle" : "", "family" : "Wang", "given" : "Hao", "non-dropping-particle" : "", "parse-names" : false, "suffix" : "" }, { "dropping-particle" : "", "family" : "Weaver", "given" : "Molly a.", "non-dropping-particle" : "", "parse-names" : false, "suffix" : "" }, { "dropping-particle" : "", "family" : "Yan", "given" : "Yongqi", "non-dropping-particle" : "", "parse-names" : false, "suffix" : "" }, { "dropping-particle" : "", "family" : "Zhang", "given" : "Miaohua", "non-dropping-particle" : "", "parse-names" : false, "suffix" : "" }, { "dropping-particle" : "", "family" : "Akey", "given" : "Joshua M.", "non-dropping-particle" : "", "parse-names" : false, "suffix" : "" }, { "dropping-particle" : "", "family" : "Bender", "given" : "Michael", "non-dropping-particle" : "", "parse-names" : false, "suffix" : "" }, { "dropping-particle" : "", "family" : "Dorschner", "given" : "Michael O.", "non-dropping-particle" : "", "parse-names" : false, "suffix" : "" }, { "dropping-particle" : "", "family" : "Groudine", "given" : "Mark", "non-dropping-particle" : "", "parse-names" : false, "suffix" : "" }, { "dropping-particle" : "", "family" : "MacCoss", "given" : "Michael J.", "non-dropping-particle" : "", "parse-names" : false, "suffix" : "" }, { "dropping-particle" : "", "family" : "Navas", "given" : "Patrick", "non-dropping-particle" : "", "parse-names" : false, "suffix" : "" }, { "dropping-particle" : "", "family" : "Stamatoyannopoulos", "given" : "George", "non-dropping-particle" : "", "parse-names" : false, "suffix" : "" }, { "dropping-particle" : "", "family" : "Beal", "given" : "Kathryn", "non-dropping-particle" : "", "parse-names" : false, "suffix" : "" }, { "dropping-particle" : "", "family" : "Brazma", "given" : "Alvis", "non-dropping-particle" : "", "parse-names" : false, "suffix" : "" }, { "dropping-particle" : "", "family" : "Flicek", "given" : "Paul", "non-dropping-particle" : "", "parse-names" : false, "suffix" : "" }, { "dropping-particle" : "", "family" : "Johnson", "given" : "Nathan", "non-dropping-particle" : "", "parse-names" : false, "suffix" : "" }, { "dropping-particle" : "", "family" : "Lukk", "given" : "Margus", "non-dropping-particle" : "", "parse-names" : false, "suffix" : "" }, { "dropping-particle" : "", "family" : "Luscombe", "given" : "Nicholas M.", "non-dropping-particle" : "", "parse-names" : false, "suffix" : "" }, { "dropping-particle" : "", "family" : "Sobral", "given" : "Daniel", "non-dropping-particle" : "", "parse-names" : false, "suffix" : "" }, { "dropping-particle" : "", "family" : "Vaquerizas", "given" : "Juan M.", "non-dropping-particle" : "", "parse-names" : false, "suffix" : "" }, { "dropping-particle" : "", "family" : "Batzoglou", "given" : "Serafim", "non-dropping-particle" : "", "parse-names" : false, "suffix" : "" }, { "dropping-particle" : "", "family" : "Sidow", "given" : "Arend", "non-dropping-particle" : "", "parse-names" : false, "suffix" : "" }, { "dropping-particle" : "", "family" : "Hussami", "given" : "Nadine", "non-dropping-particle" : "", "parse-names" : false, "suffix" : "" }, { "dropping-particle" : "", "family" : "Kyriazopoulou-Panagiotopoulou", "given" : "Sofia", "non-dropping-particle" : "", "parse-names" : false, "suffix" : "" }, { "dropping-particle" : "", "family" : "Libbrecht", "given" : "Max W.", "non-dropping-particle" : "", "parse-names" : false, "suffix" : "" }, { "dropping-particle" : "", "family" : "Schaub", "given" : "Marc a.", "non-dropping-particle" : "", "parse-names" : false, "suffix" : "" }, { "dropping-particle" : "", "family" : "Miller", "given" : "Webb", "non-dropping-particle" : "", "parse-names" : false, "suffix" : "" }, { "dropping-particle" : "", "family" : "Bickel", "given" : "Peter J.", "non-dropping-particle" : "", "parse-names" : false, "suffix" : "" }, { "dropping-particle" : "", "family" : "Banfai", "given" : "Balazs", "non-dropping-particle" : "", "parse-names" : false, "suffix" : "" }, { "dropping-particle" : "", "family" : "Boley", "given" : "Nathan P.", "non-dropping-particle" : "", "parse-names" : false, "suffix" : "" }, { "dropping-particle" : "", "family" : "Huang", "given" : "Haiyan", "non-dropping-particle" : "", "parse-names" : false, "suffix" : "" }, { "dropping-particle" : "", "family" : "Jessica Li", "given" : "Jingyi", "non-dropping-particle" : "", "parse-names" : false, "suffix" : "" }, { "dropping-particle" : "", "family" : "Stafford Noble", "given" : "William", "non-dropping-particle" : "", "parse-names" : false, "suffix" : "" }, { "dropping-particle" : "", "family" : "Bilmes", "given" : "Jeffrey a.", "non-dropping-particle" : "", "parse-names" : false, "suffix" : "" }, { "dropping-particle" : "", "family" : "Buske", "given" : "Orion J.", "non-dropping-particle" : "", "parse-names" : false, "suffix" : "" }, { "dropping-particle" : "", "family" : "Sahu", "given" : "Avinash D.", "non-dropping-particle" : "", "parse-names" : false, "suffix" : "" }, { "dropping-particle" : "V.", "family" : "Kharchenko", "given" : "Peter", "non-dropping-particle" : "", "parse-names" : false, "suffix" : "" }, { "dropping-particle" : "", "family" : "Park", "given" : "Peter J.", "non-dropping-particle" : "", "parse-names" : false, "suffix" : "" }, { "dropping-particle" : "", "family" : "Baker", "given" : "Dannon", "non-dropping-particle" : "", "parse-names" : false, "suffix" : "" }, { "dropping-particle" : "", "family" : "Taylor", "given" : "James", "non-dropping-particle" : "", "parse-names" : false, "suffix" : "" }, { "dropping-particle" : "", "family" : "Lochovsky", "given" : "Lucas", "non-dropping-particle" : "", "parse-names" : false, "suffix" : "" } ], "container-title" : "Nature", "id" : "ITEM-1", "issue" : "7414", "issued" : { "date-parts" : [ [ "2012", "9", "5" ] ] }, "page" : "57-74", "title" : "An integrated encyclopedia of DNA elements in the human genome", "type" : "article-journal", "volume" : "489" }, "uris" : [ "http://www.mendeley.com/documents/?uuid=a1431ae8-4f5a-45a1-96d5-b654bb461eb5" ] } ], "mendeley" : { "formattedCitation" : "[19]", "plainTextFormattedCitation" : "[19]", "previouslyFormattedCitation" : "[19]" }, "properties" : { "noteIndex" : 0 }, "schema" : "https://github.com/citation-style-language/schema/raw/master/csl-citation.json" }</w:instrText>
      </w:r>
      <w:r w:rsidRPr="004736A5">
        <w:rPr>
          <w:rFonts w:ascii="Arial" w:eastAsia="MS Gothic" w:hAnsi="Arial" w:cs="Arial"/>
          <w:color w:val="000000"/>
          <w:sz w:val="22"/>
          <w:szCs w:val="22"/>
        </w:rPr>
        <w:fldChar w:fldCharType="separate"/>
      </w:r>
      <w:r w:rsidR="00F43643" w:rsidRPr="00F43643">
        <w:rPr>
          <w:rFonts w:ascii="Arial" w:eastAsia="MS Gothic" w:hAnsi="Arial" w:cs="Arial"/>
          <w:noProof/>
          <w:color w:val="000000"/>
          <w:sz w:val="22"/>
          <w:szCs w:val="22"/>
        </w:rPr>
        <w:t>[19]</w:t>
      </w:r>
      <w:r w:rsidRPr="004736A5">
        <w:rPr>
          <w:rFonts w:ascii="Arial" w:eastAsia="MS Gothic" w:hAnsi="Arial" w:cs="Arial"/>
          <w:color w:val="000000"/>
          <w:sz w:val="22"/>
          <w:szCs w:val="22"/>
        </w:rPr>
        <w:fldChar w:fldCharType="end"/>
      </w:r>
      <w:r w:rsidRPr="004736A5">
        <w:rPr>
          <w:rFonts w:ascii="Arial" w:eastAsia="MS Gothic" w:hAnsi="Arial" w:cs="Arial"/>
          <w:color w:val="000000"/>
          <w:sz w:val="22"/>
          <w:szCs w:val="22"/>
        </w:rPr>
        <w:t xml:space="preserve">. Specifically, we took the list of all H3K4me1 ChIP-seq peak locations in the human genome, and projected these coordinates onto the olive baboon genome using the UCSC Genome Browser </w:t>
      </w:r>
      <w:r w:rsidRPr="004736A5">
        <w:rPr>
          <w:rFonts w:ascii="Arial" w:eastAsia="MS Gothic" w:hAnsi="Arial" w:cs="Arial"/>
          <w:i/>
          <w:color w:val="000000"/>
          <w:sz w:val="22"/>
          <w:szCs w:val="22"/>
        </w:rPr>
        <w:t>liftover</w:t>
      </w:r>
      <w:r w:rsidRPr="004736A5">
        <w:rPr>
          <w:rFonts w:ascii="Arial" w:eastAsia="MS Gothic" w:hAnsi="Arial" w:cs="Arial"/>
          <w:color w:val="000000"/>
          <w:sz w:val="22"/>
          <w:szCs w:val="22"/>
        </w:rPr>
        <w:t xml:space="preserve"> tool </w:t>
      </w:r>
      <w:r w:rsidRPr="004736A5">
        <w:rPr>
          <w:rFonts w:ascii="Arial" w:eastAsia="MS Gothic" w:hAnsi="Arial" w:cs="Arial"/>
          <w:color w:val="000000"/>
          <w:sz w:val="22"/>
          <w:szCs w:val="22"/>
        </w:rPr>
        <w:fldChar w:fldCharType="begin" w:fldLock="1"/>
      </w:r>
      <w:r w:rsidR="00F43643">
        <w:rPr>
          <w:rFonts w:ascii="Arial" w:eastAsia="MS Gothic" w:hAnsi="Arial" w:cs="Arial"/>
          <w:color w:val="000000"/>
          <w:sz w:val="22"/>
          <w:szCs w:val="22"/>
        </w:rPr>
        <w:instrText>ADDIN CSL_CITATION { "citationItems" : [ { "id" : "ITEM-1", "itemData" : { "DOI" : "10.1093/nar/gkj144", "ISBN" : "1362-4962 (Electronic) 0305-1048 (Linking)", "ISSN" : "0305-1048, 1362-4962", "PMID" : "16381938", "abstract" : "The University of California, Santa Cruz (UCSC) Genome Browser website (http://genome.ucsc .edu/) provides a large of publicly available sequence and annotation data along with an integrated tool set for examining and comparing the genomes of organisms, aligning", "author" : [ { "dropping-particle" : "", "family" : "Hinrichs", "given" : "AS", "non-dropping-particle" : "", "parse-names" : false, "suffix" : "" }, { "dropping-particle" : "", "family" : "Karolchik", "given" : "D", "non-dropping-particle" : "", "parse-names" : false, "suffix" : "" }, { "dropping-particle" : "", "family" : "Baertsch", "given" : "R", "non-dropping-particle" : "", "parse-names" : false, "suffix" : "" }, { "dropping-particle" : "", "family" : "Barber", "given" : "GP", "non-dropping-particle" : "", "parse-names" : false, "suffix" : "" }, { "dropping-particle" : "", "family" : "Bejerano", "given" : "G", "non-dropping-particle" : "", "parse-names" : false, "suffix" : "" }, { "dropping-particle" : "", "family" : "Clawson", "given" : "H", "non-dropping-particle" : "", "parse-names" : false, "suffix" : "" } ], "container-title" : "Nucleic Acids Research", "id" : "ITEM-1", "issued" : { "date-parts" : [ [ "2006" ] ] }, "page" : "D590-D598", "title" : "The UCSC Genome Browser Database: update 2006", "type" : "article-journal", "volume" : "34" }, "uris" : [ "http://www.mendeley.com/documents/?uuid=b153e12a-c50a-4f86-9e10-828711e0a538" ] } ], "mendeley" : { "formattedCitation" : "[20]", "plainTextFormattedCitation" : "[20]", "previouslyFormattedCitation" : "[20]" }, "properties" : { "noteIndex" : 0 }, "schema" : "https://github.com/citation-style-language/schema/raw/master/csl-citation.json" }</w:instrText>
      </w:r>
      <w:r w:rsidRPr="004736A5">
        <w:rPr>
          <w:rFonts w:ascii="Arial" w:eastAsia="MS Gothic" w:hAnsi="Arial" w:cs="Arial"/>
          <w:color w:val="000000"/>
          <w:sz w:val="22"/>
          <w:szCs w:val="22"/>
        </w:rPr>
        <w:fldChar w:fldCharType="separate"/>
      </w:r>
      <w:r w:rsidR="00F43643" w:rsidRPr="00F43643">
        <w:rPr>
          <w:rFonts w:ascii="Arial" w:eastAsia="MS Gothic" w:hAnsi="Arial" w:cs="Arial"/>
          <w:noProof/>
          <w:color w:val="000000"/>
          <w:sz w:val="22"/>
          <w:szCs w:val="22"/>
        </w:rPr>
        <w:t>[20]</w:t>
      </w:r>
      <w:r w:rsidRPr="004736A5">
        <w:rPr>
          <w:rFonts w:ascii="Arial" w:eastAsia="MS Gothic" w:hAnsi="Arial" w:cs="Arial"/>
          <w:color w:val="000000"/>
          <w:sz w:val="22"/>
          <w:szCs w:val="22"/>
        </w:rPr>
        <w:fldChar w:fldCharType="end"/>
      </w:r>
      <w:r w:rsidRPr="004736A5">
        <w:rPr>
          <w:rFonts w:ascii="Arial" w:eastAsia="MS Gothic" w:hAnsi="Arial" w:cs="Arial"/>
          <w:color w:val="000000"/>
          <w:sz w:val="22"/>
          <w:szCs w:val="22"/>
        </w:rPr>
        <w:t>. Finally, we defined CpG sites that were not included in any of the above annotation categories as ‘unannotated’. Further information about the location and functional role of these genomic compartments is provided in Figure S2.</w:t>
      </w:r>
    </w:p>
    <w:p w14:paraId="03363CD6" w14:textId="77777777" w:rsidR="000F7048" w:rsidRPr="004736A5" w:rsidRDefault="000F7048" w:rsidP="000F7048">
      <w:pPr>
        <w:pStyle w:val="Heading1"/>
      </w:pPr>
      <w:bookmarkStart w:id="16" w:name="_Toc297739054"/>
      <w:bookmarkStart w:id="17" w:name="_Toc306792080"/>
      <w:bookmarkStart w:id="18" w:name="_Toc306797751"/>
      <w:r w:rsidRPr="004736A5">
        <w:t>Transforming count data to normalized methylation proportions</w:t>
      </w:r>
      <w:bookmarkEnd w:id="16"/>
      <w:bookmarkEnd w:id="17"/>
      <w:bookmarkEnd w:id="18"/>
    </w:p>
    <w:p w14:paraId="52C88DEC" w14:textId="77777777" w:rsidR="000F7048" w:rsidRPr="004736A5" w:rsidRDefault="000F7048" w:rsidP="000F7048">
      <w:pPr>
        <w:spacing w:line="480" w:lineRule="auto"/>
        <w:ind w:firstLine="720"/>
        <w:rPr>
          <w:rFonts w:ascii="Arial" w:hAnsi="Arial" w:cs="Arial"/>
          <w:sz w:val="22"/>
          <w:szCs w:val="22"/>
        </w:rPr>
      </w:pPr>
      <w:r w:rsidRPr="004736A5">
        <w:rPr>
          <w:rFonts w:ascii="Arial" w:hAnsi="Arial" w:cs="Arial"/>
          <w:bCs/>
          <w:color w:val="000000"/>
          <w:sz w:val="22"/>
          <w:szCs w:val="22"/>
        </w:rPr>
        <w:t xml:space="preserve">For our main association analyses, we directly modeled counts of methylated reads and unmethylated reads for each CpG site and individual. However, two of the analyses we </w:t>
      </w:r>
      <w:r w:rsidRPr="004736A5">
        <w:rPr>
          <w:rFonts w:ascii="Arial" w:hAnsi="Arial" w:cs="Arial"/>
          <w:bCs/>
          <w:color w:val="000000"/>
          <w:sz w:val="22"/>
          <w:szCs w:val="22"/>
        </w:rPr>
        <w:lastRenderedPageBreak/>
        <w:t xml:space="preserve">performed (on DNA methylation levels near metabolism-related genes using the R package </w:t>
      </w:r>
      <w:r w:rsidRPr="004736A5">
        <w:rPr>
          <w:rFonts w:ascii="Arial" w:hAnsi="Arial" w:cs="Arial"/>
          <w:bCs/>
          <w:i/>
          <w:color w:val="000000"/>
          <w:sz w:val="22"/>
          <w:szCs w:val="22"/>
        </w:rPr>
        <w:t>GlobalTest</w:t>
      </w:r>
      <w:r w:rsidRPr="004736A5">
        <w:rPr>
          <w:rFonts w:ascii="Arial" w:hAnsi="Arial" w:cs="Arial"/>
          <w:bCs/>
          <w:color w:val="000000"/>
          <w:sz w:val="22"/>
          <w:szCs w:val="22"/>
        </w:rPr>
        <w:t xml:space="preserve">: </w:t>
      </w:r>
      <w:r w:rsidRPr="004736A5">
        <w:rPr>
          <w:rFonts w:ascii="Arial" w:hAnsi="Arial" w:cs="Arial"/>
          <w:bCs/>
          <w:color w:val="000000"/>
          <w:sz w:val="22"/>
          <w:szCs w:val="22"/>
        </w:rPr>
        <w:fldChar w:fldCharType="begin" w:fldLock="1"/>
      </w:r>
      <w:r w:rsidR="00F43643">
        <w:rPr>
          <w:rFonts w:ascii="Arial" w:hAnsi="Arial" w:cs="Arial"/>
          <w:bCs/>
          <w:color w:val="000000"/>
          <w:sz w:val="22"/>
          <w:szCs w:val="22"/>
        </w:rPr>
        <w:instrText>ADDIN CSL_CITATION { "citationItems" : [ { "id" : "ITEM-1", "itemData" : { "DOI" : "10.1093/bioinformatics/btg382", "ISBN" : "1367-4803\\r1460-2059", "ISSN" : "13674803", "PMID" : "14693814", "abstract" : "MOTIVATION: This paper presents a global test to be used for the analysis of microarray data. Using this test it can be determined whether the global expression pattern of a group of genes is significantly related to some clinical outcome of interest. Groups of genes may be any size from a single gene to all genes on the chip (e.g. known pathways, specific areas of the genome or clusters from a cluster analysis). RESULT: The test allows groups of genes of different size to be compared, because the test gives one p-value for the group, not a p-value for each gene. Researchers can use the test to investigate hypotheses based on theory or past research or to mine gene ontology databases for interesting pathways. Multiple testing problems do not occur unless many groups are tested. Special attention is given to visualizations of the test result, focussing on the associations between samples and showing the impact of individual genes on the test result. AVAILABILITY: An R-package globaltest is available from http://www.bioconductor.org", "author" : [ { "dropping-particle" : "", "family" : "Goeman", "given" : "Jelle J.", "non-dropping-particle" : "", "parse-names" : false, "suffix" : "" }, { "dropping-particle" : "", "family" : "Geer", "given" : "Sara", "non-dropping-particle" : "Van de", "parse-names" : false, "suffix" : "" }, { "dropping-particle" : "", "family" : "Kort", "given" : "Floor", "non-dropping-particle" : "De", "parse-names" : false, "suffix" : "" }, { "dropping-particle" : "", "family" : "Houwellingen", "given" : "Hans C.", "non-dropping-particle" : "van", "parse-names" : false, "suffix" : "" } ], "container-title" : "Bioinformatics", "id" : "ITEM-1", "issue" : "1", "issued" : { "date-parts" : [ [ "2004" ] ] }, "page" : "93-99", "title" : "A global test for groups fo genes: Testing association with a clinical outcome", "type" : "article-journal", "volume" : "20" }, "uris" : [ "http://www.mendeley.com/documents/?uuid=acf21599-15db-485b-bc25-8102886f4d42" ] } ], "mendeley" : { "formattedCitation" : "[21]", "plainTextFormattedCitation" : "[21]", "previouslyFormattedCitation" : "[21]" }, "properties" : { "noteIndex" : 0 }, "schema" : "https://github.com/citation-style-language/schema/raw/master/csl-citation.json" }</w:instrText>
      </w:r>
      <w:r w:rsidRPr="004736A5">
        <w:rPr>
          <w:rFonts w:ascii="Arial" w:hAnsi="Arial" w:cs="Arial"/>
          <w:bCs/>
          <w:color w:val="000000"/>
          <w:sz w:val="22"/>
          <w:szCs w:val="22"/>
        </w:rPr>
        <w:fldChar w:fldCharType="separate"/>
      </w:r>
      <w:r w:rsidR="00F43643" w:rsidRPr="00F43643">
        <w:rPr>
          <w:rFonts w:ascii="Arial" w:hAnsi="Arial" w:cs="Arial"/>
          <w:bCs/>
          <w:noProof/>
          <w:color w:val="000000"/>
          <w:sz w:val="22"/>
          <w:szCs w:val="22"/>
        </w:rPr>
        <w:t>[21]</w:t>
      </w:r>
      <w:r w:rsidRPr="004736A5">
        <w:rPr>
          <w:rFonts w:ascii="Arial" w:hAnsi="Arial" w:cs="Arial"/>
          <w:bCs/>
          <w:color w:val="000000"/>
          <w:sz w:val="22"/>
          <w:szCs w:val="22"/>
        </w:rPr>
        <w:fldChar w:fldCharType="end"/>
      </w:r>
      <w:r w:rsidRPr="004736A5">
        <w:rPr>
          <w:rFonts w:ascii="Arial" w:hAnsi="Arial" w:cs="Arial"/>
          <w:bCs/>
          <w:color w:val="000000"/>
          <w:sz w:val="22"/>
          <w:szCs w:val="22"/>
        </w:rPr>
        <w:t xml:space="preserve">; and on methylation patterns in individuals that switched resource base using the R package </w:t>
      </w:r>
      <w:r w:rsidRPr="004736A5">
        <w:rPr>
          <w:rFonts w:ascii="Arial" w:hAnsi="Arial" w:cs="Arial"/>
          <w:bCs/>
          <w:i/>
          <w:color w:val="000000"/>
          <w:sz w:val="22"/>
          <w:szCs w:val="22"/>
        </w:rPr>
        <w:t xml:space="preserve">kernlab: </w:t>
      </w:r>
      <w:r w:rsidRPr="004736A5">
        <w:rPr>
          <w:rFonts w:ascii="Arial" w:hAnsi="Arial" w:cs="Arial"/>
          <w:bCs/>
          <w:color w:val="000000"/>
          <w:sz w:val="22"/>
          <w:szCs w:val="22"/>
        </w:rPr>
        <w:fldChar w:fldCharType="begin" w:fldLock="1"/>
      </w:r>
      <w:r w:rsidR="00F43643">
        <w:rPr>
          <w:rFonts w:ascii="Arial" w:hAnsi="Arial" w:cs="Arial"/>
          <w:bCs/>
          <w:color w:val="000000"/>
          <w:sz w:val="22"/>
          <w:szCs w:val="22"/>
        </w:rPr>
        <w:instrText>ADDIN CSL_CITATION { "citationItems" : [ { "id" : "ITEM-1", "itemData" : { "author" : [ { "dropping-particle" : "", "family" : "Karatzoglou", "given" : "Alexandros", "non-dropping-particle" : "", "parse-names" : false, "suffix" : "" }, { "dropping-particle" : "", "family" : "Smola", "given" : "Alex", "non-dropping-particle" : "", "parse-names" : false, "suffix" : "" }, { "dropping-particle" : "", "family" : "Hornik", "given" : "Kurt", "non-dropping-particle" : "", "parse-names" : false, "suffix" : "" }, { "dropping-particle" : "", "family" : "Zeileis", "given" : "Achim", "non-dropping-particle" : "", "parse-names" : false, "suffix" : "" } ], "container-title" : "Journal of Statistical Software", "id" : "ITEM-1", "issue" : "9", "issued" : { "date-parts" : [ [ "2004" ] ] }, "page" : "1-20", "title" : "kernlab -- An S4 Package for Kernel Methods in R", "type" : "article-journal", "volume" : "11" }, "uris" : [ "http://www.mendeley.com/documents/?uuid=720a7950-17a4-41ea-b543-80674491acf6" ] } ], "mendeley" : { "formattedCitation" : "[22]", "plainTextFormattedCitation" : "[22]", "previouslyFormattedCitation" : "[22]" }, "properties" : { "noteIndex" : 0 }, "schema" : "https://github.com/citation-style-language/schema/raw/master/csl-citation.json" }</w:instrText>
      </w:r>
      <w:r w:rsidRPr="004736A5">
        <w:rPr>
          <w:rFonts w:ascii="Arial" w:hAnsi="Arial" w:cs="Arial"/>
          <w:bCs/>
          <w:color w:val="000000"/>
          <w:sz w:val="22"/>
          <w:szCs w:val="22"/>
        </w:rPr>
        <w:fldChar w:fldCharType="separate"/>
      </w:r>
      <w:r w:rsidR="00F43643" w:rsidRPr="00F43643">
        <w:rPr>
          <w:rFonts w:ascii="Arial" w:hAnsi="Arial" w:cs="Arial"/>
          <w:bCs/>
          <w:noProof/>
          <w:color w:val="000000"/>
          <w:sz w:val="22"/>
          <w:szCs w:val="22"/>
        </w:rPr>
        <w:t>[22]</w:t>
      </w:r>
      <w:r w:rsidRPr="004736A5">
        <w:rPr>
          <w:rFonts w:ascii="Arial" w:hAnsi="Arial" w:cs="Arial"/>
          <w:bCs/>
          <w:color w:val="000000"/>
          <w:sz w:val="22"/>
          <w:szCs w:val="22"/>
        </w:rPr>
        <w:fldChar w:fldCharType="end"/>
      </w:r>
      <w:r>
        <w:rPr>
          <w:rFonts w:ascii="Arial" w:hAnsi="Arial" w:cs="Arial"/>
          <w:bCs/>
          <w:color w:val="000000"/>
          <w:sz w:val="22"/>
          <w:szCs w:val="22"/>
        </w:rPr>
        <w:t>)</w:t>
      </w:r>
      <w:r w:rsidRPr="004736A5">
        <w:rPr>
          <w:rFonts w:ascii="Arial" w:hAnsi="Arial" w:cs="Arial"/>
          <w:bCs/>
          <w:color w:val="000000"/>
          <w:sz w:val="22"/>
          <w:szCs w:val="22"/>
        </w:rPr>
        <w:t xml:space="preserve"> required continuous, normally distributed input data. For these analyses, we transformed our count data into normalized </w:t>
      </w:r>
      <w:r w:rsidRPr="004736A5">
        <w:rPr>
          <w:rFonts w:ascii="Arial" w:hAnsi="Arial" w:cs="Arial"/>
          <w:sz w:val="22"/>
          <w:szCs w:val="22"/>
        </w:rPr>
        <w:t xml:space="preserve">proportions as follows. First, we obtained the proportion of methylated reads for each individual and CpG site by dividing the number of methylated reads by the total read count for each individual-site combination. We then quantile normalized the resulting proportions for each CpG site across individuals to a standard normal distribution, and imputed any missing data using the K-nearest neighbors algorithm in the R package </w:t>
      </w:r>
      <w:r w:rsidRPr="004736A5">
        <w:rPr>
          <w:rFonts w:ascii="Arial" w:hAnsi="Arial" w:cs="Arial"/>
          <w:i/>
          <w:sz w:val="22"/>
          <w:szCs w:val="22"/>
        </w:rPr>
        <w:t>impute</w:t>
      </w:r>
      <w:r w:rsidRPr="004736A5">
        <w:rPr>
          <w:rFonts w:ascii="Arial" w:hAnsi="Arial" w:cs="Arial"/>
          <w:sz w:val="22"/>
          <w:szCs w:val="22"/>
        </w:rPr>
        <w:t xml:space="preserve"> </w:t>
      </w:r>
      <w:r w:rsidRPr="004736A5">
        <w:rPr>
          <w:rFonts w:ascii="Arial" w:hAnsi="Arial" w:cs="Arial"/>
          <w:sz w:val="22"/>
          <w:szCs w:val="22"/>
        </w:rPr>
        <w:fldChar w:fldCharType="begin" w:fldLock="1"/>
      </w:r>
      <w:r w:rsidR="00F43643">
        <w:rPr>
          <w:rFonts w:ascii="Arial" w:hAnsi="Arial" w:cs="Arial"/>
          <w:sz w:val="22"/>
          <w:szCs w:val="22"/>
        </w:rPr>
        <w:instrText>ADDIN CSL_CITATION { "citationItems" : [ { "id" : "ITEM-1", "itemData" : { "author" : [ { "dropping-particle" : "", "family" : "Hastie", "given" : "T", "non-dropping-particle" : "", "parse-names" : false, "suffix" : "" }, { "dropping-particle" : "", "family" : "Tibshirani", "given" : "R", "non-dropping-particle" : "", "parse-names" : false, "suffix" : "" }, { "dropping-particle" : "", "family" : "Narasimhan", "given" : "B", "non-dropping-particle" : "", "parse-names" : false, "suffix" : "" }, { "dropping-particle" : "", "family" : "Chu", "given" : "G", "non-dropping-particle" : "", "parse-names" : false, "suffix" : "" } ], "id" : "ITEM-1", "issued" : { "date-parts" : [ [ "2015" ] ] }, "title" : "Impute: imputation for microarray data. R package version 1.42.0.", "type" : "article" }, "uris" : [ "http://www.mendeley.com/documents/?uuid=bb67fedb-93c4-46a1-933f-4f9948262d70" ] } ], "mendeley" : { "formattedCitation" : "[23]", "plainTextFormattedCitation" : "[23]", "previouslyFormattedCitation" : "[23]" }, "properties" : { "noteIndex" : 0 }, "schema" : "https://github.com/citation-style-language/schema/raw/master/csl-citation.json" }</w:instrText>
      </w:r>
      <w:r w:rsidRPr="004736A5">
        <w:rPr>
          <w:rFonts w:ascii="Arial" w:hAnsi="Arial" w:cs="Arial"/>
          <w:sz w:val="22"/>
          <w:szCs w:val="22"/>
        </w:rPr>
        <w:fldChar w:fldCharType="separate"/>
      </w:r>
      <w:r w:rsidR="00F43643" w:rsidRPr="00F43643">
        <w:rPr>
          <w:rFonts w:ascii="Arial" w:hAnsi="Arial" w:cs="Arial"/>
          <w:noProof/>
          <w:sz w:val="22"/>
          <w:szCs w:val="22"/>
        </w:rPr>
        <w:t>[23]</w:t>
      </w:r>
      <w:r w:rsidRPr="004736A5">
        <w:rPr>
          <w:rFonts w:ascii="Arial" w:hAnsi="Arial" w:cs="Arial"/>
          <w:sz w:val="22"/>
          <w:szCs w:val="22"/>
        </w:rPr>
        <w:fldChar w:fldCharType="end"/>
      </w:r>
      <w:r w:rsidRPr="004736A5">
        <w:rPr>
          <w:rFonts w:ascii="Arial" w:hAnsi="Arial" w:cs="Arial"/>
          <w:sz w:val="22"/>
          <w:szCs w:val="22"/>
        </w:rPr>
        <w:t xml:space="preserve">. </w:t>
      </w:r>
    </w:p>
    <w:p w14:paraId="72F968B5" w14:textId="77777777" w:rsidR="000F7048" w:rsidRPr="004736A5" w:rsidRDefault="000F7048" w:rsidP="000F7048">
      <w:pPr>
        <w:pStyle w:val="Heading1"/>
        <w:rPr>
          <w:i/>
          <w:color w:val="000000"/>
        </w:rPr>
      </w:pPr>
      <w:bookmarkStart w:id="19" w:name="_Toc297739055"/>
      <w:bookmarkStart w:id="20" w:name="_Toc306792081"/>
      <w:bookmarkStart w:id="21" w:name="_Toc306797752"/>
      <w:r w:rsidRPr="004736A5">
        <w:t>Testing the degree to which DMRs occur more often than expected by chance</w:t>
      </w:r>
      <w:bookmarkEnd w:id="19"/>
      <w:bookmarkEnd w:id="20"/>
      <w:bookmarkEnd w:id="21"/>
    </w:p>
    <w:p w14:paraId="6532CDA8" w14:textId="77777777" w:rsidR="000F7048" w:rsidRPr="004736A5" w:rsidRDefault="000F7048" w:rsidP="000F7048">
      <w:pPr>
        <w:spacing w:line="480" w:lineRule="auto"/>
        <w:ind w:firstLine="720"/>
        <w:rPr>
          <w:rFonts w:ascii="Arial" w:eastAsia="Times New Roman" w:hAnsi="Arial" w:cs="Arial"/>
          <w:sz w:val="22"/>
          <w:szCs w:val="22"/>
        </w:rPr>
      </w:pPr>
      <w:r w:rsidRPr="004736A5">
        <w:rPr>
          <w:rFonts w:ascii="Arial" w:hAnsi="Arial" w:cs="Arial"/>
          <w:bCs/>
          <w:color w:val="000000"/>
          <w:sz w:val="22"/>
          <w:szCs w:val="22"/>
        </w:rPr>
        <w:t xml:space="preserve">To identify resource base-associated DMRs in our data set, we focused on resource base-associated sites that had at least one other measured CpG site within either 1 kb upstream or downstream of the focal site. This criterion was met for 847 of the 1,014 resource base-associated sites detected at a 10% FDR. For these 847 sites, we counted (i) the absolute number of nearby (i.e., within 1 kb) sites that also exhibited evidence for differential methylation, and (ii) the proportion of nearby sites that also exhibited evidence for differential methylation. We considered a nearby site to show evidence for differential methylation if it was associated with resource base at a relaxed 20% FDR threshold. </w:t>
      </w:r>
    </w:p>
    <w:p w14:paraId="69088111" w14:textId="07A83075" w:rsidR="000F7048" w:rsidRPr="004736A5" w:rsidRDefault="000F7048" w:rsidP="000F7048">
      <w:pPr>
        <w:spacing w:line="480" w:lineRule="auto"/>
        <w:ind w:firstLine="720"/>
        <w:rPr>
          <w:rFonts w:ascii="Arial" w:hAnsi="Arial" w:cs="Arial"/>
          <w:bCs/>
          <w:color w:val="000000"/>
          <w:sz w:val="22"/>
          <w:szCs w:val="22"/>
        </w:rPr>
      </w:pPr>
      <w:r w:rsidRPr="004736A5">
        <w:rPr>
          <w:rFonts w:ascii="Arial" w:hAnsi="Arial" w:cs="Arial"/>
          <w:bCs/>
          <w:color w:val="000000"/>
          <w:sz w:val="22"/>
          <w:szCs w:val="22"/>
        </w:rPr>
        <w:t xml:space="preserve">To understand whether DMRs occurred more often than expected by chance in our real data, and to identify the cutoffs we ultimately used to define DMRs, we compared the distributions of the number and proportion of differentially methylated nearby sites to distributions created in an identical manner from permuted data. Specifically, we permuted resource base </w:t>
      </w:r>
      <w:r>
        <w:rPr>
          <w:rFonts w:ascii="Arial" w:hAnsi="Arial" w:cs="Arial"/>
          <w:bCs/>
          <w:color w:val="000000"/>
          <w:sz w:val="22"/>
          <w:szCs w:val="22"/>
        </w:rPr>
        <w:t xml:space="preserve">label </w:t>
      </w:r>
      <w:r w:rsidRPr="004736A5">
        <w:rPr>
          <w:rFonts w:ascii="Arial" w:hAnsi="Arial" w:cs="Arial"/>
          <w:bCs/>
          <w:color w:val="000000"/>
          <w:sz w:val="22"/>
          <w:szCs w:val="22"/>
        </w:rPr>
        <w:t>(wild-feeding or Lodge) across individuals in our data set and re-ran our association analyses in MACAU</w:t>
      </w:r>
      <w:r>
        <w:rPr>
          <w:rFonts w:ascii="Arial" w:hAnsi="Arial" w:cs="Arial"/>
          <w:bCs/>
          <w:color w:val="000000"/>
          <w:sz w:val="22"/>
          <w:szCs w:val="22"/>
        </w:rPr>
        <w:t>. T</w:t>
      </w:r>
      <w:r w:rsidRPr="004736A5">
        <w:rPr>
          <w:rFonts w:ascii="Arial" w:hAnsi="Arial" w:cs="Arial"/>
          <w:bCs/>
          <w:color w:val="000000"/>
          <w:sz w:val="22"/>
          <w:szCs w:val="22"/>
        </w:rPr>
        <w:t xml:space="preserve">hese permutations produced uniform p-value distributions, as expected: see Figure </w:t>
      </w:r>
      <w:r w:rsidR="004B1CDA">
        <w:rPr>
          <w:rFonts w:ascii="Arial" w:hAnsi="Arial" w:cs="Arial"/>
          <w:bCs/>
          <w:color w:val="000000"/>
          <w:sz w:val="22"/>
          <w:szCs w:val="22"/>
        </w:rPr>
        <w:t>2</w:t>
      </w:r>
      <w:r w:rsidRPr="004736A5">
        <w:rPr>
          <w:rFonts w:ascii="Arial" w:hAnsi="Arial" w:cs="Arial"/>
          <w:bCs/>
          <w:color w:val="000000"/>
          <w:sz w:val="22"/>
          <w:szCs w:val="22"/>
        </w:rPr>
        <w:t xml:space="preserve"> in the main text. We then replicated the procedure for identifying DMRs </w:t>
      </w:r>
      <w:r w:rsidRPr="004736A5">
        <w:rPr>
          <w:rFonts w:ascii="Arial" w:hAnsi="Arial" w:cs="Arial"/>
          <w:bCs/>
          <w:color w:val="000000"/>
          <w:sz w:val="22"/>
          <w:szCs w:val="22"/>
        </w:rPr>
        <w:lastRenderedPageBreak/>
        <w:t xml:space="preserve">using results obtained from the permuted data. Specifically, we (i) chose the 847 sites with the smallest p-values (again focusing only on CpG sites with at least 1 other CpG site within a 1 kb distance); and (ii) counted both the absolute number and proportion of nearby sites with evidence for differential methylation. We performed this procedure using p-values obtained from four independent permutations, and averaged the resulting distributions. To test whether DMRs were more likely to occur in the real versus permuted data sets, we then compared the distributions generated from the real versus permuted data sets using </w:t>
      </w:r>
      <w:r w:rsidRPr="004736A5">
        <w:rPr>
          <w:rFonts w:ascii="Arial" w:hAnsi="Arial" w:cs="Arial"/>
          <w:color w:val="000000"/>
          <w:sz w:val="22"/>
          <w:szCs w:val="22"/>
        </w:rPr>
        <w:t>Kolmogorov-Smirnov</w:t>
      </w:r>
      <w:r w:rsidRPr="004736A5">
        <w:rPr>
          <w:rFonts w:ascii="Arial" w:hAnsi="Arial" w:cs="Arial"/>
          <w:bCs/>
          <w:color w:val="000000"/>
          <w:sz w:val="22"/>
          <w:szCs w:val="22"/>
        </w:rPr>
        <w:t xml:space="preserve"> tests. </w:t>
      </w:r>
    </w:p>
    <w:p w14:paraId="064C5D9E" w14:textId="77777777" w:rsidR="000F7048" w:rsidRPr="004736A5" w:rsidRDefault="000F7048" w:rsidP="000F7048">
      <w:pPr>
        <w:spacing w:line="480" w:lineRule="auto"/>
        <w:ind w:firstLine="720"/>
        <w:rPr>
          <w:rFonts w:ascii="Arial" w:hAnsi="Arial" w:cs="Arial"/>
          <w:bCs/>
          <w:color w:val="000000"/>
          <w:sz w:val="22"/>
          <w:szCs w:val="22"/>
        </w:rPr>
      </w:pPr>
      <w:r w:rsidRPr="004736A5">
        <w:rPr>
          <w:rFonts w:ascii="Arial" w:hAnsi="Arial" w:cs="Arial"/>
          <w:bCs/>
          <w:color w:val="000000"/>
          <w:sz w:val="22"/>
          <w:szCs w:val="22"/>
        </w:rPr>
        <w:t xml:space="preserve">We found that </w:t>
      </w:r>
      <w:r w:rsidRPr="004736A5">
        <w:rPr>
          <w:rFonts w:ascii="Arial" w:hAnsi="Arial" w:cs="Arial"/>
          <w:sz w:val="22"/>
          <w:szCs w:val="22"/>
        </w:rPr>
        <w:t>differentially methylated sites occurred in spatial clusters more often than expected by chance in the real data. CpG sites associated with resource base were surrounded by a higher number and higher proportion of nearby sites that also were associated with resource base, compared to chance expectations (Kolmogorov-Smirnov test for proportion of surrounding sites: D = 0.113, p = 3.76 x 10</w:t>
      </w:r>
      <w:r w:rsidRPr="004736A5">
        <w:rPr>
          <w:rFonts w:ascii="Arial" w:hAnsi="Arial" w:cs="Arial"/>
          <w:sz w:val="22"/>
          <w:szCs w:val="22"/>
          <w:vertAlign w:val="superscript"/>
        </w:rPr>
        <w:t>-5</w:t>
      </w:r>
      <w:r w:rsidRPr="004736A5">
        <w:rPr>
          <w:rFonts w:ascii="Arial" w:hAnsi="Arial" w:cs="Arial"/>
          <w:sz w:val="22"/>
          <w:szCs w:val="22"/>
        </w:rPr>
        <w:t>; for number of nearby sites, D = 0.123, p = 5.69 x 10</w:t>
      </w:r>
      <w:r w:rsidRPr="004736A5">
        <w:rPr>
          <w:rFonts w:ascii="Arial" w:hAnsi="Arial" w:cs="Arial"/>
          <w:sz w:val="22"/>
          <w:szCs w:val="22"/>
          <w:vertAlign w:val="superscript"/>
        </w:rPr>
        <w:t>-6</w:t>
      </w:r>
      <w:r w:rsidRPr="004736A5">
        <w:rPr>
          <w:rFonts w:ascii="Arial" w:hAnsi="Arial" w:cs="Arial"/>
          <w:sz w:val="22"/>
          <w:szCs w:val="22"/>
        </w:rPr>
        <w:t xml:space="preserve"> ; Figure S</w:t>
      </w:r>
      <w:r>
        <w:rPr>
          <w:rFonts w:ascii="Arial" w:hAnsi="Arial" w:cs="Arial"/>
          <w:sz w:val="22"/>
          <w:szCs w:val="22"/>
        </w:rPr>
        <w:t>6</w:t>
      </w:r>
      <w:r w:rsidRPr="004736A5">
        <w:rPr>
          <w:rFonts w:ascii="Arial" w:hAnsi="Arial" w:cs="Arial"/>
          <w:sz w:val="22"/>
          <w:szCs w:val="22"/>
        </w:rPr>
        <w:t xml:space="preserve">). Together, these results suggest that changes in DNA methylation associated with resource base are consistently targeted to specific regions of the genome, and are thus more likely to have functional effects on gene expression </w:t>
      </w:r>
      <w:r w:rsidRPr="004736A5">
        <w:rPr>
          <w:rFonts w:ascii="Arial" w:hAnsi="Arial" w:cs="Arial"/>
          <w:bCs/>
          <w:color w:val="000000"/>
          <w:sz w:val="22"/>
          <w:szCs w:val="22"/>
        </w:rPr>
        <w:fldChar w:fldCharType="begin" w:fldLock="1"/>
      </w:r>
      <w:r w:rsidR="00F43643">
        <w:rPr>
          <w:rFonts w:ascii="Arial" w:hAnsi="Arial" w:cs="Arial"/>
          <w:bCs/>
          <w:color w:val="000000"/>
          <w:sz w:val="22"/>
          <w:szCs w:val="22"/>
        </w:rPr>
        <w:instrText>ADDIN CSL_CITATION { "citationItems" : [ { "id" : "ITEM-1", "itemData" : { "DOI" : "10.1093/ije/dyr238", "ISBN" : "9999999999", "ISSN" : "03005771", "PMID" : "22422453", "abstract" : "BACKGROUND: During the past 5 years, high-throughput technologies have been successfully used by epidemiology studies, but almost all have focused on sequence variation through genome-wide association studies (GWAS). Today, the study of other genomic events is becoming more common in large-scale epidemiological studies. Many of these, unlike the single-nucleotide polymorphism studied in GWAS, are continuous measures. In this context, the exercise of searching for regions of interest for disease is akin to the problems described in the statistical 'bump hunting' literature.\\n\\nMETHODS: New statistical challenges arise when the measurements are continuous rather than categorical, when they are measured with uncertainty, and when both biological signal, and measurement errors are characterized by spatial correlation along the genome. Perhaps the most challenging complication is that continuous genomic data from large studies are measured throughout long periods, making them susceptible to 'batch effects'. An example that combines all three characteristics is genome-wide DNA methylation measurements. Here, we present a data analysis pipeline that effectively models measurement error, removes batch effects, detects regions of interest and attaches statistical uncertainty to identified regions.\\n\\nRESULTS: We illustrate the usefulness of our approach by detecting genomic regions of DNA methylation associated with a continuous trait in a well-characterized population of newborns. Additionally, we show that addressing unexplained heterogeneity like batch effects reduces the number of false-positive regions.\\n\\nCONCLUSIONS: Our framework offers a comprehensive yet flexible approach for identifying genomic regions of biological interest in large epidemiological studies using quantitative high-throughput methods.", "author" : [ { "dropping-particle" : "", "family" : "Jaffe", "given" : "Andrew E.", "non-dropping-particle" : "", "parse-names" : false, "suffix" : "" }, { "dropping-particle" : "", "family" : "Murakami", "given" : "Peter", "non-dropping-particle" : "", "parse-names" : false, "suffix" : "" }, { "dropping-particle" : "", "family" : "Lee", "given" : "Hwajin", "non-dropping-particle" : "", "parse-names" : false, "suffix" : "" }, { "dropping-particle" : "", "family" : "Leek", "given" : "Jeffrey T.", "non-dropping-particle" : "", "parse-names" : false, "suffix" : "" }, { "dropping-particle" : "", "family" : "Fallin", "given" : "M. Daniele", "non-dropping-particle" : "", "parse-names" : false, "suffix" : "" }, { "dropping-particle" : "", "family" : "Feinberg", "given" : "Andrew P.", "non-dropping-particle" : "", "parse-names" : false, "suffix" : "" }, { "dropping-particle" : "", "family" : "Irizarry", "given" : "Rafael a.", "non-dropping-particle" : "", "parse-names" : false, "suffix" : "" } ], "container-title" : "International Journal of Epidemiology", "id" : "ITEM-1", "issue" : "1", "issued" : { "date-parts" : [ [ "2012" ] ] }, "page" : "200-209", "title" : "Bump hunting to identify differentially methylated regions in epigenetic epidemiology studies", "type" : "article-journal", "volume" : "41" }, "uris" : [ "http://www.mendeley.com/documents/?uuid=baf3279e-fa22-463f-9e37-f772e2c81e89" ] }, { "id" : "ITEM-2", "itemData" : { "author" : [ { "dropping-particle" : "", "family" : "Lister", "given" : "R", "non-dropping-particle" : "", "parse-names" : false, "suffix" : "" }, { "dropping-particle" : "", "family" : "Pelizzola", "given" : "M", "non-dropping-particle" : "", "parse-names" : false, "suffix" : "" }, { "dropping-particle" : "", "family" : "Dowen", "given" : "RH", "non-dropping-particle" : "", "parse-names" : false, "suffix" : "" }, { "dropping-particle" : "", "family" : "Hawkins", "given" : "RD", "non-dropping-particle" : "", "parse-names" : false, "suffix" : "" } ], "container-title" : "Nature", "id" : "ITEM-2", "issued" : { "date-parts" : [ [ "2009" ] ] }, "title" : "Human DNA methylomes at base resolution show widespread epigenomic differences", "type" : "article-journal" }, "uris" : [ "http://www.mendeley.com/documents/?uuid=a68c5bf4-6e75-4989-933d-6818efc65751" ] }, { "id" : "ITEM-3", "itemData" : { "DOI" : "10.1038/ng.865", "ISSN" : "1546-1718", "PMID" : "21706001", "abstract" : "Tumor heterogeneity is a major barrier to effective cancer diagnosis and treatment. We recently identified cancer-specific differentially DNA-methylated regions (cDMRs) in colon cancer, which also distinguish normal tissue types from each other, suggesting that these cDMRs might be generalized across cancer types. Here we show stochastic methylation variation of the same cDMRs, distinguishing cancer from normal tissue, in colon, lung, breast, thyroid and Wilms' tumors, with intermediate variation in adenomas. Whole-genome bisulfite sequencing shows these variable cDMRs are related to loss of sharply delimited methylation boundaries at CpG islands. Furthermore, we find hypomethylation of discrete blocks encompassing half the genome, with extreme gene expression variability. Genes associated with the cDMRs and large blocks are involved in mitosis and matrix remodeling, respectively. We suggest a model for cancer involving loss of epigenetic stability of well-defined genomic domains that underlies increased methylation variability in cancer that may contribute to tumor heterogeneity.", "author" : [ { "dropping-particle" : "", "family" : "Hansen", "given" : "Kasper Daniel", "non-dropping-particle" : "", "parse-names" : false, "suffix" : "" }, { "dropping-particle" : "", "family" : "Timp", "given" : "Winston", "non-dropping-particle" : "", "parse-names" : false, "suffix" : "" }, { "dropping-particle" : "", "family" : "Bravo", "given" : "H\u00e9ctor Corrada", "non-dropping-particle" : "", "parse-names" : false, "suffix" : "" }, { "dropping-particle" : "", "family" : "Sabunciyan", "given" : "Sarven", "non-dropping-particle" : "", "parse-names" : false, "suffix" : "" }, { "dropping-particle" : "", "family" : "Langmead", "given" : "Benjamin", "non-dropping-particle" : "", "parse-names" : false, "suffix" : "" }, { "dropping-particle" : "", "family" : "McDonald", "given" : "Oliver G", "non-dropping-particle" : "", "parse-names" : false, "suffix" : "" }, { "dropping-particle" : "", "family" : "Wen", "given" : "Bo", "non-dropping-particle" : "", "parse-names" : false, "suffix" : "" }, { "dropping-particle" : "", "family" : "Wu", "given" : "Hao", "non-dropping-particle" : "", "parse-names" : false, "suffix" : "" }, { "dropping-particle" : "", "family" : "Liu", "given" : "Yun", "non-dropping-particle" : "", "parse-names" : false, "suffix" : "" }, { "dropping-particle" : "", "family" : "Diep", "given" : "Dinh", "non-dropping-particle" : "", "parse-names" : false, "suffix" : "" }, { "dropping-particle" : "", "family" : "Briem", "given" : "Eirikur", "non-dropping-particle" : "", "parse-names" : false, "suffix" : "" }, { "dropping-particle" : "", "family" : "Zhang", "given" : "Kun", "non-dropping-particle" : "", "parse-names" : false, "suffix" : "" }, { "dropping-particle" : "", "family" : "Irizarry", "given" : "Rafael a", "non-dropping-particle" : "", "parse-names" : false, "suffix" : "" }, { "dropping-particle" : "", "family" : "Feinberg", "given" : "Andrew P", "non-dropping-particle" : "", "parse-names" : false, "suffix" : "" } ], "container-title" : "Nature Genetics", "id" : "ITEM-3", "issue" : "8", "issued" : { "date-parts" : [ [ "2011", "8" ] ] }, "page" : "768-75", "publisher" : "Nature Publishing Group", "title" : "Increased methylation variation in epigenetic domains across cancer types.", "type" : "article-journal", "volume" : "43" }, "uris" : [ "http://www.mendeley.com/documents/?uuid=dddb6cd0-516d-4e50-b73d-f58313294532" ] } ], "mendeley" : { "formattedCitation" : "[24\u201326]", "plainTextFormattedCitation" : "[24\u201326]", "previouslyFormattedCitation" : "[24\u201326]" }, "properties" : { "noteIndex" : 0 }, "schema" : "https://github.com/citation-style-language/schema/raw/master/csl-citation.json" }</w:instrText>
      </w:r>
      <w:r w:rsidRPr="004736A5">
        <w:rPr>
          <w:rFonts w:ascii="Arial" w:hAnsi="Arial" w:cs="Arial"/>
          <w:bCs/>
          <w:color w:val="000000"/>
          <w:sz w:val="22"/>
          <w:szCs w:val="22"/>
        </w:rPr>
        <w:fldChar w:fldCharType="separate"/>
      </w:r>
      <w:r w:rsidR="00F43643" w:rsidRPr="00F43643">
        <w:rPr>
          <w:rFonts w:ascii="Arial" w:hAnsi="Arial" w:cs="Arial"/>
          <w:bCs/>
          <w:noProof/>
          <w:color w:val="000000"/>
          <w:sz w:val="22"/>
          <w:szCs w:val="22"/>
        </w:rPr>
        <w:t>[24–26]</w:t>
      </w:r>
      <w:r w:rsidRPr="004736A5">
        <w:rPr>
          <w:rFonts w:ascii="Arial" w:hAnsi="Arial" w:cs="Arial"/>
          <w:bCs/>
          <w:color w:val="000000"/>
          <w:sz w:val="22"/>
          <w:szCs w:val="22"/>
        </w:rPr>
        <w:fldChar w:fldCharType="end"/>
      </w:r>
    </w:p>
    <w:p w14:paraId="3AB03437" w14:textId="77777777" w:rsidR="000F7048" w:rsidRPr="004736A5" w:rsidRDefault="000F7048" w:rsidP="000F7048">
      <w:pPr>
        <w:pStyle w:val="Heading1"/>
      </w:pPr>
      <w:bookmarkStart w:id="22" w:name="_Toc297739056"/>
      <w:bookmarkStart w:id="23" w:name="_Toc306792082"/>
      <w:bookmarkStart w:id="24" w:name="_Toc306797753"/>
      <w:r w:rsidRPr="004736A5">
        <w:rPr>
          <w:i/>
        </w:rPr>
        <w:t>PFKP</w:t>
      </w:r>
      <w:r w:rsidRPr="004736A5">
        <w:t xml:space="preserve"> reporter constructs</w:t>
      </w:r>
      <w:bookmarkEnd w:id="22"/>
      <w:bookmarkEnd w:id="23"/>
      <w:bookmarkEnd w:id="24"/>
    </w:p>
    <w:p w14:paraId="14CFF634" w14:textId="77777777" w:rsidR="000F7048" w:rsidRPr="004736A5" w:rsidRDefault="000F7048" w:rsidP="000F7048">
      <w:pPr>
        <w:shd w:val="clear" w:color="auto" w:fill="FFFFFF"/>
        <w:spacing w:line="480" w:lineRule="auto"/>
        <w:ind w:firstLine="720"/>
        <w:rPr>
          <w:rFonts w:ascii="Arial" w:eastAsia="Times New Roman" w:hAnsi="Arial" w:cs="Arial"/>
          <w:sz w:val="22"/>
          <w:szCs w:val="22"/>
        </w:rPr>
      </w:pPr>
      <w:r w:rsidRPr="004736A5">
        <w:rPr>
          <w:rFonts w:ascii="Arial" w:hAnsi="Arial" w:cs="Arial"/>
          <w:sz w:val="22"/>
          <w:szCs w:val="22"/>
        </w:rPr>
        <w:t xml:space="preserve">We amplified 817 bp of the </w:t>
      </w:r>
      <w:r w:rsidRPr="004736A5">
        <w:rPr>
          <w:rFonts w:ascii="Arial" w:hAnsi="Arial" w:cs="Arial"/>
          <w:i/>
          <w:sz w:val="22"/>
          <w:szCs w:val="22"/>
        </w:rPr>
        <w:t>PFKP</w:t>
      </w:r>
      <w:r w:rsidRPr="004736A5">
        <w:rPr>
          <w:rFonts w:ascii="Arial" w:hAnsi="Arial" w:cs="Arial"/>
          <w:sz w:val="22"/>
          <w:szCs w:val="22"/>
        </w:rPr>
        <w:t xml:space="preserve"> promoter region using the following primer pair: 5’-TCCAGATCTTAAGCTCTTTGGATGCGCGTATTTC-3’ (forward) and 5’-TCCATGGACTAAGCTGTGGGTTGGAGGACTCTGGT-3’ (reverse). These primers each contain a 15 base-pair tail that is complementary to the pCpGL vector, which is necessary for directional cloning via Gibson assembly. We amplified the </w:t>
      </w:r>
      <w:r w:rsidRPr="004736A5">
        <w:rPr>
          <w:rFonts w:ascii="Arial" w:hAnsi="Arial" w:cs="Arial"/>
          <w:i/>
          <w:sz w:val="22"/>
          <w:szCs w:val="22"/>
        </w:rPr>
        <w:t>PFKP</w:t>
      </w:r>
      <w:r w:rsidRPr="004736A5">
        <w:rPr>
          <w:rFonts w:ascii="Arial" w:hAnsi="Arial" w:cs="Arial"/>
          <w:sz w:val="22"/>
          <w:szCs w:val="22"/>
        </w:rPr>
        <w:t xml:space="preserve"> promoter region by combining 1 U of AmpliTaq Gold, 1.5 mM </w:t>
      </w:r>
      <w:r w:rsidRPr="004736A5">
        <w:rPr>
          <w:rFonts w:ascii="Arial" w:eastAsia="Times New Roman" w:hAnsi="Arial" w:cs="Arial"/>
          <w:sz w:val="22"/>
          <w:szCs w:val="22"/>
        </w:rPr>
        <w:t>MgSO</w:t>
      </w:r>
      <w:r w:rsidRPr="004736A5">
        <w:rPr>
          <w:rFonts w:ascii="Arial" w:eastAsia="Times New Roman" w:hAnsi="Arial" w:cs="Arial"/>
          <w:sz w:val="22"/>
          <w:szCs w:val="22"/>
          <w:vertAlign w:val="subscript"/>
        </w:rPr>
        <w:t>4</w:t>
      </w:r>
      <w:r w:rsidRPr="004736A5">
        <w:rPr>
          <w:rFonts w:ascii="Arial" w:eastAsia="Times New Roman" w:hAnsi="Arial" w:cs="Arial"/>
          <w:sz w:val="22"/>
          <w:szCs w:val="22"/>
        </w:rPr>
        <w:t xml:space="preserve">, 0.2 mM dNTPs, and 1 uM of the forward and reverse primers </w:t>
      </w:r>
      <w:r w:rsidRPr="004736A5">
        <w:rPr>
          <w:rFonts w:ascii="Arial" w:hAnsi="Arial" w:cs="Arial"/>
          <w:sz w:val="22"/>
          <w:szCs w:val="22"/>
        </w:rPr>
        <w:t xml:space="preserve">in a </w:t>
      </w:r>
      <w:r w:rsidRPr="004736A5">
        <w:rPr>
          <w:rFonts w:ascii="Arial" w:eastAsia="Times New Roman" w:hAnsi="Arial" w:cs="Arial"/>
          <w:sz w:val="22"/>
          <w:szCs w:val="22"/>
        </w:rPr>
        <w:t xml:space="preserve">1X buffer solution. Water was added to bring the total reaction volume to 25 uL. </w:t>
      </w:r>
      <w:r w:rsidRPr="004736A5">
        <w:rPr>
          <w:rFonts w:ascii="Arial" w:hAnsi="Arial" w:cs="Arial"/>
          <w:sz w:val="22"/>
          <w:szCs w:val="22"/>
        </w:rPr>
        <w:t xml:space="preserve">PCR cycling conditions were as follows: 94 °C for 3 minutes; followed by 35 cycles of 94 °C for </w:t>
      </w:r>
      <w:r w:rsidRPr="004736A5">
        <w:rPr>
          <w:rFonts w:ascii="Arial" w:hAnsi="Arial" w:cs="Arial"/>
          <w:sz w:val="22"/>
          <w:szCs w:val="22"/>
        </w:rPr>
        <w:lastRenderedPageBreak/>
        <w:t>30 seconds, 53 °C for 30 seconds, and 72 °C for 1 minute; and a final 5 minutes at 72 °C.</w:t>
      </w:r>
      <w:r w:rsidRPr="004736A5">
        <w:rPr>
          <w:rFonts w:ascii="Arial" w:eastAsia="Times New Roman" w:hAnsi="Arial" w:cs="Arial"/>
          <w:sz w:val="22"/>
          <w:szCs w:val="22"/>
        </w:rPr>
        <w:t xml:space="preserve"> </w:t>
      </w:r>
      <w:r w:rsidRPr="004736A5">
        <w:rPr>
          <w:rFonts w:ascii="Arial" w:hAnsi="Arial" w:cs="Arial"/>
          <w:sz w:val="22"/>
          <w:szCs w:val="22"/>
        </w:rPr>
        <w:t xml:space="preserve">Following PCR amplification, we confirmed correct amplification of the target region by gel electrophoresis and Sanger sequencing. </w:t>
      </w:r>
    </w:p>
    <w:p w14:paraId="0924E2AA" w14:textId="77777777" w:rsidR="000F7048" w:rsidRPr="004736A5" w:rsidRDefault="000F7048" w:rsidP="000F7048">
      <w:pPr>
        <w:widowControl w:val="0"/>
        <w:autoSpaceDE w:val="0"/>
        <w:autoSpaceDN w:val="0"/>
        <w:adjustRightInd w:val="0"/>
        <w:spacing w:line="480" w:lineRule="auto"/>
        <w:ind w:firstLine="720"/>
        <w:rPr>
          <w:rFonts w:ascii="Arial" w:hAnsi="Arial" w:cs="Arial"/>
          <w:sz w:val="22"/>
          <w:szCs w:val="22"/>
        </w:rPr>
      </w:pPr>
      <w:r w:rsidRPr="004736A5">
        <w:rPr>
          <w:rFonts w:ascii="Arial" w:hAnsi="Arial" w:cs="Arial"/>
          <w:sz w:val="22"/>
          <w:szCs w:val="22"/>
        </w:rPr>
        <w:t xml:space="preserve">We linearized the pCpGL vector with the restriction enzyme </w:t>
      </w:r>
      <w:r w:rsidRPr="004736A5">
        <w:rPr>
          <w:rFonts w:ascii="Arial" w:hAnsi="Arial" w:cs="Arial"/>
          <w:i/>
          <w:sz w:val="22"/>
          <w:szCs w:val="22"/>
        </w:rPr>
        <w:t xml:space="preserve">HindIII </w:t>
      </w:r>
      <w:r w:rsidRPr="004736A5">
        <w:rPr>
          <w:rFonts w:ascii="Arial" w:hAnsi="Arial" w:cs="Arial"/>
          <w:sz w:val="22"/>
          <w:szCs w:val="22"/>
        </w:rPr>
        <w:t xml:space="preserve">(New England BioLabs), following the manufacturer’s instructions. We then purified both the </w:t>
      </w:r>
      <w:r w:rsidRPr="004736A5">
        <w:rPr>
          <w:rFonts w:ascii="Arial" w:hAnsi="Arial" w:cs="Arial"/>
          <w:i/>
          <w:sz w:val="22"/>
          <w:szCs w:val="22"/>
        </w:rPr>
        <w:t>PFKP</w:t>
      </w:r>
      <w:r w:rsidRPr="004736A5">
        <w:rPr>
          <w:rFonts w:ascii="Arial" w:hAnsi="Arial" w:cs="Arial"/>
          <w:sz w:val="22"/>
          <w:szCs w:val="22"/>
        </w:rPr>
        <w:t xml:space="preserve"> amplicon and the linearized plasmid via column cleanup (MinElute Reaction Cleanup Kit, QIAGEN), and ligated the two fragments together (Gibson Assembly Master Mix, New England BioLabs). The resulting plasmid DNA was chemically transformed into competent </w:t>
      </w:r>
      <w:r w:rsidRPr="004736A5">
        <w:rPr>
          <w:rFonts w:ascii="Arial" w:hAnsi="Arial" w:cs="Arial"/>
          <w:i/>
          <w:sz w:val="22"/>
          <w:szCs w:val="22"/>
        </w:rPr>
        <w:t>E. coli</w:t>
      </w:r>
      <w:r w:rsidRPr="004736A5">
        <w:rPr>
          <w:rFonts w:ascii="Arial" w:hAnsi="Arial" w:cs="Arial"/>
          <w:sz w:val="22"/>
          <w:szCs w:val="22"/>
        </w:rPr>
        <w:t xml:space="preserve"> GT115 cells (InvivoGen), selected and grown on LB agar plates in the presence of Zeocin, and purified using the QIAprep Spin Miniprep Kit (QIAGEN).</w:t>
      </w:r>
    </w:p>
    <w:p w14:paraId="671848F4" w14:textId="77777777" w:rsidR="000F7048" w:rsidRPr="00A50C1F" w:rsidRDefault="000F7048" w:rsidP="000F7048">
      <w:pPr>
        <w:widowControl w:val="0"/>
        <w:autoSpaceDE w:val="0"/>
        <w:autoSpaceDN w:val="0"/>
        <w:adjustRightInd w:val="0"/>
        <w:spacing w:line="480" w:lineRule="auto"/>
        <w:ind w:firstLine="720"/>
        <w:rPr>
          <w:rFonts w:ascii="Arial" w:hAnsi="Arial" w:cs="Arial"/>
          <w:sz w:val="22"/>
          <w:szCs w:val="22"/>
        </w:rPr>
      </w:pPr>
      <w:r w:rsidRPr="004736A5">
        <w:rPr>
          <w:rFonts w:ascii="Arial" w:hAnsi="Arial" w:cs="Arial"/>
          <w:sz w:val="22"/>
          <w:szCs w:val="22"/>
        </w:rPr>
        <w:t xml:space="preserve">We subjected the purified plasmid DNA (containing the pCpGL backbone and the </w:t>
      </w:r>
      <w:r w:rsidRPr="004736A5">
        <w:rPr>
          <w:rFonts w:ascii="Arial" w:hAnsi="Arial" w:cs="Arial"/>
          <w:i/>
          <w:sz w:val="22"/>
          <w:szCs w:val="22"/>
        </w:rPr>
        <w:t>PFKP</w:t>
      </w:r>
      <w:r w:rsidRPr="004736A5">
        <w:rPr>
          <w:rFonts w:ascii="Arial" w:hAnsi="Arial" w:cs="Arial"/>
          <w:sz w:val="22"/>
          <w:szCs w:val="22"/>
        </w:rPr>
        <w:t xml:space="preserve"> promoter) to three different treatments: (i) </w:t>
      </w:r>
      <w:r w:rsidRPr="004736A5">
        <w:rPr>
          <w:rFonts w:ascii="Arial" w:hAnsi="Arial" w:cs="Arial"/>
          <w:i/>
          <w:sz w:val="22"/>
          <w:szCs w:val="22"/>
        </w:rPr>
        <w:t>in vitro</w:t>
      </w:r>
      <w:r w:rsidRPr="004736A5">
        <w:rPr>
          <w:rFonts w:ascii="Arial" w:hAnsi="Arial" w:cs="Arial"/>
          <w:sz w:val="22"/>
          <w:szCs w:val="22"/>
        </w:rPr>
        <w:t xml:space="preserve"> methylation by </w:t>
      </w:r>
      <w:r w:rsidRPr="004736A5">
        <w:rPr>
          <w:rFonts w:ascii="Arial" w:hAnsi="Arial" w:cs="Arial"/>
          <w:i/>
          <w:sz w:val="22"/>
          <w:szCs w:val="22"/>
        </w:rPr>
        <w:t>M.SssI</w:t>
      </w:r>
      <w:r w:rsidRPr="004736A5">
        <w:rPr>
          <w:rFonts w:ascii="Arial" w:hAnsi="Arial" w:cs="Arial"/>
          <w:sz w:val="22"/>
          <w:szCs w:val="22"/>
        </w:rPr>
        <w:t xml:space="preserve"> methyltransferase in the presence of the methyl donor S-adenosylmethionine (SAM), which results in methylation of all CpGs; (ii) </w:t>
      </w:r>
      <w:r w:rsidRPr="004736A5">
        <w:rPr>
          <w:rFonts w:ascii="Arial" w:hAnsi="Arial" w:cs="Arial"/>
          <w:i/>
          <w:sz w:val="22"/>
          <w:szCs w:val="22"/>
        </w:rPr>
        <w:t>in vitro</w:t>
      </w:r>
      <w:r w:rsidRPr="004736A5">
        <w:rPr>
          <w:rFonts w:ascii="Arial" w:hAnsi="Arial" w:cs="Arial"/>
          <w:sz w:val="22"/>
          <w:szCs w:val="22"/>
        </w:rPr>
        <w:t xml:space="preserve"> methylation by </w:t>
      </w:r>
      <w:r w:rsidRPr="004736A5">
        <w:rPr>
          <w:rFonts w:ascii="Arial" w:hAnsi="Arial" w:cs="Arial"/>
          <w:i/>
          <w:sz w:val="22"/>
          <w:szCs w:val="22"/>
        </w:rPr>
        <w:t>HhaI</w:t>
      </w:r>
      <w:r w:rsidRPr="004736A5">
        <w:rPr>
          <w:rFonts w:ascii="Arial" w:hAnsi="Arial" w:cs="Arial"/>
          <w:sz w:val="22"/>
          <w:szCs w:val="22"/>
        </w:rPr>
        <w:t xml:space="preserve"> methyltransferase in the presence of SAM, which results in methylation of the first cytosine (second base) in the sequence GCGC; and (iii) a mock treatment using only SAM and no methyltransferase. Below, we report the sequence for the </w:t>
      </w:r>
      <w:r w:rsidRPr="004736A5">
        <w:rPr>
          <w:rFonts w:ascii="Arial" w:hAnsi="Arial" w:cs="Arial"/>
          <w:i/>
          <w:sz w:val="22"/>
          <w:szCs w:val="22"/>
        </w:rPr>
        <w:t>PFKP</w:t>
      </w:r>
      <w:r w:rsidRPr="004736A5">
        <w:rPr>
          <w:rFonts w:ascii="Arial" w:hAnsi="Arial" w:cs="Arial"/>
          <w:sz w:val="22"/>
          <w:szCs w:val="22"/>
        </w:rPr>
        <w:t xml:space="preserve"> promoter region we assayed, and show which CpGs were methylated in the 2 experimental treatment conditions. We confirmed that the </w:t>
      </w:r>
      <w:r w:rsidRPr="004736A5">
        <w:rPr>
          <w:rFonts w:ascii="Arial" w:hAnsi="Arial" w:cs="Arial"/>
          <w:i/>
          <w:sz w:val="22"/>
          <w:szCs w:val="22"/>
        </w:rPr>
        <w:t>PFKP</w:t>
      </w:r>
      <w:r w:rsidRPr="004736A5">
        <w:rPr>
          <w:rFonts w:ascii="Arial" w:hAnsi="Arial" w:cs="Arial"/>
          <w:sz w:val="22"/>
          <w:szCs w:val="22"/>
        </w:rPr>
        <w:t xml:space="preserve"> promoter was methylated as expected by digesting each treated plasmid with </w:t>
      </w:r>
      <w:r w:rsidRPr="004736A5">
        <w:rPr>
          <w:rFonts w:ascii="Arial" w:hAnsi="Arial" w:cs="Arial"/>
          <w:i/>
          <w:sz w:val="22"/>
          <w:szCs w:val="22"/>
        </w:rPr>
        <w:t>MspI</w:t>
      </w:r>
      <w:r w:rsidRPr="004736A5">
        <w:rPr>
          <w:rFonts w:ascii="Arial" w:hAnsi="Arial" w:cs="Arial"/>
          <w:sz w:val="22"/>
          <w:szCs w:val="22"/>
        </w:rPr>
        <w:t xml:space="preserve">, a methylation insensitive enzyme that targets the sequence motif CCGG, and </w:t>
      </w:r>
      <w:r w:rsidRPr="004736A5">
        <w:rPr>
          <w:rFonts w:ascii="Arial" w:hAnsi="Arial" w:cs="Arial"/>
          <w:i/>
          <w:sz w:val="22"/>
          <w:szCs w:val="22"/>
        </w:rPr>
        <w:t>HpaII</w:t>
      </w:r>
      <w:r w:rsidRPr="004736A5">
        <w:rPr>
          <w:rFonts w:ascii="Arial" w:hAnsi="Arial" w:cs="Arial"/>
          <w:sz w:val="22"/>
          <w:szCs w:val="22"/>
        </w:rPr>
        <w:t xml:space="preserve">, an </w:t>
      </w:r>
      <w:r w:rsidRPr="004736A5">
        <w:rPr>
          <w:rFonts w:ascii="Arial" w:eastAsia="Times New Roman" w:hAnsi="Arial" w:cs="Arial"/>
          <w:sz w:val="22"/>
          <w:szCs w:val="22"/>
          <w:shd w:val="clear" w:color="auto" w:fill="FFFFFF"/>
        </w:rPr>
        <w:t xml:space="preserve">isoschizomer of </w:t>
      </w:r>
      <w:r w:rsidRPr="004736A5">
        <w:rPr>
          <w:rFonts w:ascii="Arial" w:eastAsia="Times New Roman" w:hAnsi="Arial" w:cs="Arial"/>
          <w:i/>
          <w:sz w:val="22"/>
          <w:szCs w:val="22"/>
          <w:shd w:val="clear" w:color="auto" w:fill="FFFFFF"/>
        </w:rPr>
        <w:t>MspI</w:t>
      </w:r>
      <w:r w:rsidRPr="004736A5">
        <w:rPr>
          <w:rFonts w:ascii="Arial" w:eastAsia="Times New Roman" w:hAnsi="Arial" w:cs="Arial"/>
          <w:sz w:val="22"/>
          <w:szCs w:val="22"/>
          <w:shd w:val="clear" w:color="auto" w:fill="FFFFFF"/>
        </w:rPr>
        <w:t xml:space="preserve"> whose activity is blocked by DNA methylation</w:t>
      </w:r>
      <w:r w:rsidRPr="004736A5">
        <w:rPr>
          <w:rFonts w:ascii="Arial" w:hAnsi="Arial" w:cs="Arial"/>
          <w:sz w:val="22"/>
          <w:szCs w:val="22"/>
        </w:rPr>
        <w:t>, followed by gel electrophoresis</w:t>
      </w:r>
      <w:r>
        <w:rPr>
          <w:rFonts w:ascii="Arial" w:hAnsi="Arial" w:cs="Arial"/>
          <w:sz w:val="22"/>
          <w:szCs w:val="22"/>
        </w:rPr>
        <w:t xml:space="preserve"> to visualize the resulting fragments</w:t>
      </w:r>
      <w:r w:rsidRPr="00A50C1F">
        <w:rPr>
          <w:rFonts w:ascii="Arial" w:hAnsi="Arial" w:cs="Arial"/>
          <w:sz w:val="22"/>
          <w:szCs w:val="22"/>
        </w:rPr>
        <w:t>.</w:t>
      </w:r>
    </w:p>
    <w:p w14:paraId="29B3B77F" w14:textId="77777777" w:rsidR="000F7048" w:rsidRPr="00A50C1F" w:rsidRDefault="000F7048" w:rsidP="000F7048">
      <w:pPr>
        <w:widowControl w:val="0"/>
        <w:autoSpaceDE w:val="0"/>
        <w:autoSpaceDN w:val="0"/>
        <w:adjustRightInd w:val="0"/>
        <w:spacing w:line="480" w:lineRule="auto"/>
        <w:ind w:firstLine="720"/>
        <w:rPr>
          <w:rFonts w:ascii="Arial" w:hAnsi="Arial" w:cs="Arial"/>
          <w:sz w:val="22"/>
          <w:szCs w:val="22"/>
        </w:rPr>
      </w:pPr>
      <w:r w:rsidRPr="00A50C1F">
        <w:rPr>
          <w:rFonts w:ascii="Arial" w:hAnsi="Arial" w:cs="Arial"/>
          <w:sz w:val="22"/>
          <w:szCs w:val="22"/>
        </w:rPr>
        <w:t xml:space="preserve">All restriction enzymes and methyltransferases were obtained from New England BioLabs. </w:t>
      </w:r>
    </w:p>
    <w:p w14:paraId="6E934A77" w14:textId="77777777" w:rsidR="000F7048" w:rsidRDefault="000F7048" w:rsidP="000F7048">
      <w:pPr>
        <w:outlineLvl w:val="0"/>
        <w:rPr>
          <w:rFonts w:ascii="Arial" w:hAnsi="Arial" w:cs="Arial"/>
          <w:b/>
          <w:sz w:val="24"/>
          <w:szCs w:val="24"/>
        </w:rPr>
      </w:pPr>
    </w:p>
    <w:p w14:paraId="239CB470" w14:textId="77777777" w:rsidR="000F7048" w:rsidRDefault="000F7048" w:rsidP="000F7048">
      <w:pPr>
        <w:rPr>
          <w:rFonts w:ascii="Arial" w:hAnsi="Arial" w:cs="Arial"/>
          <w:color w:val="000000"/>
          <w:sz w:val="22"/>
          <w:szCs w:val="22"/>
          <w:highlight w:val="yellow"/>
        </w:rPr>
      </w:pPr>
      <w:r w:rsidRPr="00F50D94">
        <w:rPr>
          <w:rFonts w:ascii="Arial" w:hAnsi="Arial" w:cs="Arial"/>
          <w:i/>
          <w:sz w:val="22"/>
          <w:szCs w:val="22"/>
        </w:rPr>
        <w:t>PFKP</w:t>
      </w:r>
      <w:r w:rsidRPr="00F50D94">
        <w:rPr>
          <w:rFonts w:ascii="Arial" w:hAnsi="Arial" w:cs="Arial"/>
          <w:sz w:val="22"/>
          <w:szCs w:val="22"/>
        </w:rPr>
        <w:t xml:space="preserve"> promoter region sequence with </w:t>
      </w:r>
      <w:r>
        <w:rPr>
          <w:rFonts w:ascii="Arial" w:hAnsi="Arial" w:cs="Arial"/>
          <w:sz w:val="22"/>
          <w:szCs w:val="22"/>
        </w:rPr>
        <w:t>color annotation</w:t>
      </w:r>
      <w:r w:rsidRPr="00F50D94">
        <w:rPr>
          <w:rFonts w:ascii="Arial" w:hAnsi="Arial" w:cs="Arial"/>
          <w:sz w:val="22"/>
          <w:szCs w:val="22"/>
        </w:rPr>
        <w:t xml:space="preserve"> for </w:t>
      </w:r>
      <w:r w:rsidRPr="00A50C1F">
        <w:rPr>
          <w:rFonts w:ascii="Arial" w:hAnsi="Arial" w:cs="Arial"/>
          <w:i/>
          <w:sz w:val="22"/>
          <w:szCs w:val="22"/>
        </w:rPr>
        <w:t>M.SssI</w:t>
      </w:r>
      <w:r w:rsidRPr="00A50C1F">
        <w:rPr>
          <w:rFonts w:ascii="Arial" w:hAnsi="Arial" w:cs="Arial"/>
          <w:sz w:val="22"/>
          <w:szCs w:val="22"/>
        </w:rPr>
        <w:t xml:space="preserve"> condition: pink denotes CpGs</w:t>
      </w:r>
      <w:r>
        <w:rPr>
          <w:rFonts w:ascii="Arial" w:hAnsi="Arial" w:cs="Arial"/>
          <w:sz w:val="22"/>
          <w:szCs w:val="22"/>
        </w:rPr>
        <w:t xml:space="preserve"> methylated by </w:t>
      </w:r>
      <w:r w:rsidRPr="006A65AE">
        <w:rPr>
          <w:rFonts w:ascii="Arial" w:hAnsi="Arial" w:cs="Arial"/>
          <w:i/>
          <w:sz w:val="22"/>
          <w:szCs w:val="22"/>
        </w:rPr>
        <w:t>M.SssI</w:t>
      </w:r>
      <w:r w:rsidRPr="00A50C1F">
        <w:rPr>
          <w:rFonts w:ascii="Arial" w:hAnsi="Arial" w:cs="Arial"/>
          <w:sz w:val="22"/>
          <w:szCs w:val="22"/>
        </w:rPr>
        <w:t>, yellow denotes primer sequence</w:t>
      </w:r>
      <w:r w:rsidRPr="00A50C1F">
        <w:rPr>
          <w:rFonts w:ascii="Arial" w:hAnsi="Arial" w:cs="Arial"/>
          <w:color w:val="000000"/>
          <w:sz w:val="22"/>
          <w:szCs w:val="22"/>
          <w:highlight w:val="yellow"/>
        </w:rPr>
        <w:t xml:space="preserve"> </w:t>
      </w:r>
    </w:p>
    <w:p w14:paraId="4DC2F43E" w14:textId="77777777" w:rsidR="000F7048" w:rsidRDefault="000F7048" w:rsidP="000F7048">
      <w:pPr>
        <w:rPr>
          <w:rFonts w:ascii="Arial" w:hAnsi="Arial" w:cs="Arial"/>
          <w:color w:val="000000"/>
          <w:sz w:val="22"/>
          <w:szCs w:val="22"/>
          <w:highlight w:val="yellow"/>
        </w:rPr>
      </w:pPr>
    </w:p>
    <w:p w14:paraId="4B20DA45" w14:textId="77777777" w:rsidR="000F7048" w:rsidRPr="00A50C1F" w:rsidRDefault="000F7048" w:rsidP="000F7048">
      <w:pPr>
        <w:rPr>
          <w:rFonts w:ascii="Arial" w:hAnsi="Arial" w:cs="Arial"/>
          <w:color w:val="000000"/>
          <w:sz w:val="22"/>
          <w:szCs w:val="22"/>
        </w:rPr>
      </w:pPr>
      <w:r w:rsidRPr="00A50C1F">
        <w:rPr>
          <w:rFonts w:ascii="Arial" w:hAnsi="Arial" w:cs="Arial"/>
          <w:color w:val="000000"/>
          <w:sz w:val="22"/>
          <w:szCs w:val="22"/>
          <w:highlight w:val="yellow"/>
        </w:rPr>
        <w:lastRenderedPageBreak/>
        <w:t>CTTTGGATG</w:t>
      </w:r>
      <w:r w:rsidRPr="00A50C1F">
        <w:rPr>
          <w:rFonts w:ascii="Arial" w:hAnsi="Arial" w:cs="Arial"/>
          <w:color w:val="000000"/>
          <w:sz w:val="22"/>
          <w:szCs w:val="22"/>
          <w:highlight w:val="magenta"/>
        </w:rPr>
        <w:t>CGCG</w:t>
      </w:r>
      <w:r w:rsidRPr="00A50C1F">
        <w:rPr>
          <w:rFonts w:ascii="Arial" w:hAnsi="Arial" w:cs="Arial"/>
          <w:color w:val="000000"/>
          <w:sz w:val="22"/>
          <w:szCs w:val="22"/>
          <w:highlight w:val="yellow"/>
        </w:rPr>
        <w:t>TATTTC</w:t>
      </w:r>
      <w:r w:rsidRPr="00A50C1F">
        <w:rPr>
          <w:rFonts w:ascii="Arial" w:hAnsi="Arial" w:cs="Arial"/>
          <w:color w:val="000000"/>
          <w:sz w:val="22"/>
          <w:szCs w:val="22"/>
        </w:rPr>
        <w:t>AGCA</w:t>
      </w:r>
      <w:r w:rsidRPr="00A50C1F">
        <w:rPr>
          <w:rFonts w:ascii="Arial" w:hAnsi="Arial" w:cs="Arial"/>
          <w:color w:val="000000"/>
          <w:sz w:val="22"/>
          <w:szCs w:val="22"/>
          <w:highlight w:val="magenta"/>
        </w:rPr>
        <w:t>CG</w:t>
      </w:r>
      <w:r w:rsidRPr="00A50C1F">
        <w:rPr>
          <w:rFonts w:ascii="Arial" w:hAnsi="Arial" w:cs="Arial"/>
          <w:color w:val="000000"/>
          <w:sz w:val="22"/>
          <w:szCs w:val="22"/>
        </w:rPr>
        <w:t>TGGAGTTGGCCAGTGGAGC</w:t>
      </w:r>
      <w:r w:rsidRPr="00A50C1F">
        <w:rPr>
          <w:rFonts w:ascii="Arial" w:hAnsi="Arial" w:cs="Arial"/>
          <w:color w:val="000000"/>
          <w:sz w:val="22"/>
          <w:szCs w:val="22"/>
          <w:highlight w:val="magenta"/>
        </w:rPr>
        <w:t>CG</w:t>
      </w:r>
      <w:r w:rsidRPr="00A50C1F">
        <w:rPr>
          <w:rFonts w:ascii="Arial" w:hAnsi="Arial" w:cs="Arial"/>
          <w:color w:val="000000"/>
          <w:sz w:val="22"/>
          <w:szCs w:val="22"/>
        </w:rPr>
        <w:t>G C</w:t>
      </w:r>
      <w:r w:rsidRPr="00A50C1F">
        <w:rPr>
          <w:rFonts w:ascii="Arial" w:hAnsi="Arial" w:cs="Arial"/>
          <w:color w:val="000000"/>
          <w:sz w:val="22"/>
          <w:szCs w:val="22"/>
          <w:highlight w:val="magenta"/>
        </w:rPr>
        <w:t>CG</w:t>
      </w:r>
      <w:r w:rsidRPr="00A50C1F">
        <w:rPr>
          <w:rFonts w:ascii="Arial" w:hAnsi="Arial" w:cs="Arial"/>
          <w:color w:val="000000"/>
          <w:sz w:val="22"/>
          <w:szCs w:val="22"/>
        </w:rPr>
        <w:t>AGGT</w:t>
      </w:r>
      <w:r w:rsidRPr="00A50C1F">
        <w:rPr>
          <w:rFonts w:ascii="Arial" w:hAnsi="Arial" w:cs="Arial"/>
          <w:color w:val="000000"/>
          <w:sz w:val="22"/>
          <w:szCs w:val="22"/>
          <w:highlight w:val="magenta"/>
        </w:rPr>
        <w:t>CG</w:t>
      </w:r>
      <w:r w:rsidRPr="00A50C1F">
        <w:rPr>
          <w:rFonts w:ascii="Arial" w:hAnsi="Arial" w:cs="Arial"/>
          <w:color w:val="000000"/>
          <w:sz w:val="22"/>
          <w:szCs w:val="22"/>
        </w:rPr>
        <w:t>ACACAG</w:t>
      </w:r>
      <w:r w:rsidRPr="00A50C1F">
        <w:rPr>
          <w:rFonts w:ascii="Arial" w:hAnsi="Arial" w:cs="Arial"/>
          <w:color w:val="000000"/>
          <w:sz w:val="22"/>
          <w:szCs w:val="22"/>
          <w:highlight w:val="magenta"/>
        </w:rPr>
        <w:t>CG</w:t>
      </w:r>
      <w:r w:rsidRPr="00A50C1F">
        <w:rPr>
          <w:rFonts w:ascii="Arial" w:hAnsi="Arial" w:cs="Arial"/>
          <w:color w:val="000000"/>
          <w:sz w:val="22"/>
          <w:szCs w:val="22"/>
        </w:rPr>
        <w:t>TAC</w:t>
      </w:r>
      <w:r w:rsidRPr="00A50C1F">
        <w:rPr>
          <w:rFonts w:ascii="Arial" w:hAnsi="Arial" w:cs="Arial"/>
          <w:color w:val="000000"/>
          <w:sz w:val="22"/>
          <w:szCs w:val="22"/>
          <w:highlight w:val="magenta"/>
        </w:rPr>
        <w:t>CG</w:t>
      </w:r>
      <w:r w:rsidRPr="00A50C1F">
        <w:rPr>
          <w:rFonts w:ascii="Arial" w:hAnsi="Arial" w:cs="Arial"/>
          <w:color w:val="000000"/>
          <w:sz w:val="22"/>
          <w:szCs w:val="22"/>
        </w:rPr>
        <w:t>CAG</w:t>
      </w:r>
      <w:r w:rsidRPr="00A50C1F">
        <w:rPr>
          <w:rFonts w:ascii="Arial" w:hAnsi="Arial" w:cs="Arial"/>
          <w:color w:val="000000"/>
          <w:sz w:val="22"/>
          <w:szCs w:val="22"/>
          <w:highlight w:val="magenta"/>
        </w:rPr>
        <w:t>CGCGCG</w:t>
      </w:r>
      <w:r w:rsidRPr="00A50C1F">
        <w:rPr>
          <w:rFonts w:ascii="Arial" w:hAnsi="Arial" w:cs="Arial"/>
          <w:color w:val="000000"/>
          <w:sz w:val="22"/>
          <w:szCs w:val="22"/>
        </w:rPr>
        <w:t>TGTC</w:t>
      </w:r>
      <w:r w:rsidRPr="00A50C1F">
        <w:rPr>
          <w:rFonts w:ascii="Arial" w:hAnsi="Arial" w:cs="Arial"/>
          <w:color w:val="000000"/>
          <w:sz w:val="22"/>
          <w:szCs w:val="22"/>
          <w:highlight w:val="magenta"/>
        </w:rPr>
        <w:t>CG</w:t>
      </w:r>
      <w:r w:rsidRPr="00A50C1F">
        <w:rPr>
          <w:rFonts w:ascii="Arial" w:hAnsi="Arial" w:cs="Arial"/>
          <w:color w:val="000000"/>
          <w:sz w:val="22"/>
          <w:szCs w:val="22"/>
        </w:rPr>
        <w:t>TGGGGAGGAAGGG T</w:t>
      </w:r>
      <w:r w:rsidRPr="00A50C1F">
        <w:rPr>
          <w:rFonts w:ascii="Arial" w:hAnsi="Arial" w:cs="Arial"/>
          <w:color w:val="000000"/>
          <w:sz w:val="22"/>
          <w:szCs w:val="22"/>
          <w:highlight w:val="magenta"/>
        </w:rPr>
        <w:t>CG</w:t>
      </w:r>
      <w:r w:rsidRPr="00A50C1F">
        <w:rPr>
          <w:rFonts w:ascii="Arial" w:hAnsi="Arial" w:cs="Arial"/>
          <w:color w:val="000000"/>
          <w:sz w:val="22"/>
          <w:szCs w:val="22"/>
        </w:rPr>
        <w:t>TCC</w:t>
      </w:r>
      <w:r w:rsidRPr="00A50C1F">
        <w:rPr>
          <w:rFonts w:ascii="Arial" w:hAnsi="Arial" w:cs="Arial"/>
          <w:color w:val="000000"/>
          <w:sz w:val="22"/>
          <w:szCs w:val="22"/>
          <w:highlight w:val="magenta"/>
        </w:rPr>
        <w:t>CG</w:t>
      </w:r>
      <w:r w:rsidRPr="00A50C1F">
        <w:rPr>
          <w:rFonts w:ascii="Arial" w:hAnsi="Arial" w:cs="Arial"/>
          <w:color w:val="000000"/>
          <w:sz w:val="22"/>
          <w:szCs w:val="22"/>
        </w:rPr>
        <w:t>CCTCCCTCCCAGGCCAGTCCTGTTG</w:t>
      </w:r>
      <w:r w:rsidRPr="00A50C1F">
        <w:rPr>
          <w:rFonts w:ascii="Arial" w:hAnsi="Arial" w:cs="Arial"/>
          <w:color w:val="000000"/>
          <w:sz w:val="22"/>
          <w:szCs w:val="22"/>
          <w:highlight w:val="magenta"/>
        </w:rPr>
        <w:t>CG</w:t>
      </w:r>
      <w:r w:rsidRPr="00A50C1F">
        <w:rPr>
          <w:rFonts w:ascii="Arial" w:hAnsi="Arial" w:cs="Arial"/>
          <w:color w:val="000000"/>
          <w:sz w:val="22"/>
          <w:szCs w:val="22"/>
        </w:rPr>
        <w:t>CCTCCTCCTGCCCCA CTCTGACTTT</w:t>
      </w:r>
      <w:r w:rsidRPr="00A50C1F">
        <w:rPr>
          <w:rFonts w:ascii="Arial" w:hAnsi="Arial" w:cs="Arial"/>
          <w:color w:val="000000"/>
          <w:sz w:val="22"/>
          <w:szCs w:val="22"/>
          <w:highlight w:val="magenta"/>
        </w:rPr>
        <w:t>CGCGCG</w:t>
      </w:r>
      <w:r w:rsidRPr="00A50C1F">
        <w:rPr>
          <w:rFonts w:ascii="Arial" w:hAnsi="Arial" w:cs="Arial"/>
          <w:color w:val="000000"/>
          <w:sz w:val="22"/>
          <w:szCs w:val="22"/>
        </w:rPr>
        <w:t>CCCAGGTGTCTCTGAGGGT</w:t>
      </w:r>
      <w:r w:rsidRPr="00A50C1F">
        <w:rPr>
          <w:rFonts w:ascii="Arial" w:hAnsi="Arial" w:cs="Arial"/>
          <w:color w:val="000000"/>
          <w:sz w:val="22"/>
          <w:szCs w:val="22"/>
          <w:highlight w:val="magenta"/>
        </w:rPr>
        <w:t>CGCG</w:t>
      </w:r>
      <w:r w:rsidRPr="00A50C1F">
        <w:rPr>
          <w:rFonts w:ascii="Arial" w:hAnsi="Arial" w:cs="Arial"/>
          <w:color w:val="000000"/>
          <w:sz w:val="22"/>
          <w:szCs w:val="22"/>
        </w:rPr>
        <w:t>CCC</w:t>
      </w:r>
      <w:r w:rsidRPr="00A50C1F">
        <w:rPr>
          <w:rFonts w:ascii="Arial" w:hAnsi="Arial" w:cs="Arial"/>
          <w:color w:val="000000"/>
          <w:sz w:val="22"/>
          <w:szCs w:val="22"/>
          <w:highlight w:val="magenta"/>
        </w:rPr>
        <w:t>CG</w:t>
      </w:r>
      <w:r w:rsidRPr="00A50C1F">
        <w:rPr>
          <w:rFonts w:ascii="Arial" w:hAnsi="Arial" w:cs="Arial"/>
          <w:color w:val="000000"/>
          <w:sz w:val="22"/>
          <w:szCs w:val="22"/>
        </w:rPr>
        <w:t>ATACCC TCCTCCACCCCAAGGCTTCTTCTCCCCAAGGGC</w:t>
      </w:r>
      <w:r w:rsidRPr="00A50C1F">
        <w:rPr>
          <w:rFonts w:ascii="Arial" w:hAnsi="Arial" w:cs="Arial"/>
          <w:color w:val="000000"/>
          <w:sz w:val="22"/>
          <w:szCs w:val="22"/>
          <w:highlight w:val="magenta"/>
        </w:rPr>
        <w:t>CG</w:t>
      </w:r>
      <w:r w:rsidRPr="00A50C1F">
        <w:rPr>
          <w:rFonts w:ascii="Arial" w:hAnsi="Arial" w:cs="Arial"/>
          <w:color w:val="000000"/>
          <w:sz w:val="22"/>
          <w:szCs w:val="22"/>
        </w:rPr>
        <w:t>GGCTGGGAGCCCAGG AG</w:t>
      </w:r>
      <w:r w:rsidRPr="00A50C1F">
        <w:rPr>
          <w:rFonts w:ascii="Arial" w:hAnsi="Arial" w:cs="Arial"/>
          <w:color w:val="000000"/>
          <w:sz w:val="22"/>
          <w:szCs w:val="22"/>
          <w:highlight w:val="magenta"/>
        </w:rPr>
        <w:t>CG</w:t>
      </w:r>
      <w:r w:rsidRPr="00A50C1F">
        <w:rPr>
          <w:rFonts w:ascii="Arial" w:hAnsi="Arial" w:cs="Arial"/>
          <w:color w:val="000000"/>
          <w:sz w:val="22"/>
          <w:szCs w:val="22"/>
        </w:rPr>
        <w:t>CCACAGCCCCCATGGGCCCAGGAAATTGCAGCTT</w:t>
      </w:r>
      <w:r w:rsidRPr="00A50C1F">
        <w:rPr>
          <w:rFonts w:ascii="Arial" w:hAnsi="Arial" w:cs="Arial"/>
          <w:color w:val="000000"/>
          <w:sz w:val="22"/>
          <w:szCs w:val="22"/>
          <w:highlight w:val="magenta"/>
        </w:rPr>
        <w:t>CG</w:t>
      </w:r>
      <w:r w:rsidRPr="00A50C1F">
        <w:rPr>
          <w:rFonts w:ascii="Arial" w:hAnsi="Arial" w:cs="Arial"/>
          <w:color w:val="000000"/>
          <w:sz w:val="22"/>
          <w:szCs w:val="22"/>
        </w:rPr>
        <w:t>TCATAGCTAA GCC</w:t>
      </w:r>
      <w:r w:rsidRPr="00A50C1F">
        <w:rPr>
          <w:rFonts w:ascii="Arial" w:hAnsi="Arial" w:cs="Arial"/>
          <w:color w:val="000000"/>
          <w:sz w:val="22"/>
          <w:szCs w:val="22"/>
          <w:highlight w:val="magenta"/>
        </w:rPr>
        <w:t>CG</w:t>
      </w:r>
      <w:r w:rsidRPr="00A50C1F">
        <w:rPr>
          <w:rFonts w:ascii="Arial" w:hAnsi="Arial" w:cs="Arial"/>
          <w:color w:val="000000"/>
          <w:sz w:val="22"/>
          <w:szCs w:val="22"/>
        </w:rPr>
        <w:t>C</w:t>
      </w:r>
      <w:r w:rsidRPr="00A50C1F">
        <w:rPr>
          <w:rFonts w:ascii="Arial" w:hAnsi="Arial" w:cs="Arial"/>
          <w:color w:val="000000"/>
          <w:sz w:val="22"/>
          <w:szCs w:val="22"/>
          <w:highlight w:val="magenta"/>
        </w:rPr>
        <w:t>CGCG</w:t>
      </w:r>
      <w:r w:rsidRPr="00A50C1F">
        <w:rPr>
          <w:rFonts w:ascii="Arial" w:hAnsi="Arial" w:cs="Arial"/>
          <w:color w:val="000000"/>
          <w:sz w:val="22"/>
          <w:szCs w:val="22"/>
        </w:rPr>
        <w:t>CTCAGCTTTTCCCACCACCTGAAGGATTCACTCTCCATCC GTCCTTCC</w:t>
      </w:r>
      <w:r w:rsidRPr="00A50C1F">
        <w:rPr>
          <w:rFonts w:ascii="Arial" w:hAnsi="Arial" w:cs="Arial"/>
          <w:color w:val="000000"/>
          <w:sz w:val="22"/>
          <w:szCs w:val="22"/>
          <w:highlight w:val="magenta"/>
        </w:rPr>
        <w:t>CG</w:t>
      </w:r>
      <w:r w:rsidRPr="00A50C1F">
        <w:rPr>
          <w:rFonts w:ascii="Arial" w:hAnsi="Arial" w:cs="Arial"/>
          <w:color w:val="000000"/>
          <w:sz w:val="22"/>
          <w:szCs w:val="22"/>
        </w:rPr>
        <w:t>ACCTCAGGCTGCAGAGAAAACTTGGGGG</w:t>
      </w:r>
      <w:r w:rsidRPr="00A50C1F">
        <w:rPr>
          <w:rFonts w:ascii="Arial" w:hAnsi="Arial" w:cs="Arial"/>
          <w:color w:val="000000"/>
          <w:sz w:val="22"/>
          <w:szCs w:val="22"/>
          <w:highlight w:val="magenta"/>
        </w:rPr>
        <w:t>CG</w:t>
      </w:r>
      <w:r w:rsidRPr="00A50C1F">
        <w:rPr>
          <w:rFonts w:ascii="Arial" w:hAnsi="Arial" w:cs="Arial"/>
          <w:color w:val="000000"/>
          <w:sz w:val="22"/>
          <w:szCs w:val="22"/>
        </w:rPr>
        <w:t>GGGGT</w:t>
      </w:r>
      <w:r w:rsidRPr="00A50C1F">
        <w:rPr>
          <w:rFonts w:ascii="Arial" w:hAnsi="Arial" w:cs="Arial"/>
          <w:color w:val="000000"/>
          <w:sz w:val="22"/>
          <w:szCs w:val="22"/>
          <w:highlight w:val="magenta"/>
        </w:rPr>
        <w:t>CG</w:t>
      </w:r>
      <w:r w:rsidRPr="00A50C1F">
        <w:rPr>
          <w:rFonts w:ascii="Arial" w:hAnsi="Arial" w:cs="Arial"/>
          <w:color w:val="000000"/>
          <w:sz w:val="22"/>
          <w:szCs w:val="22"/>
        </w:rPr>
        <w:t>AGG AAGC</w:t>
      </w:r>
      <w:r w:rsidRPr="00A50C1F">
        <w:rPr>
          <w:rFonts w:ascii="Arial" w:hAnsi="Arial" w:cs="Arial"/>
          <w:color w:val="000000"/>
          <w:sz w:val="22"/>
          <w:szCs w:val="22"/>
          <w:highlight w:val="magenta"/>
        </w:rPr>
        <w:t>CG</w:t>
      </w:r>
      <w:r w:rsidRPr="00A50C1F">
        <w:rPr>
          <w:rFonts w:ascii="Arial" w:hAnsi="Arial" w:cs="Arial"/>
          <w:color w:val="000000"/>
          <w:sz w:val="22"/>
          <w:szCs w:val="22"/>
        </w:rPr>
        <w:t>CCCCC</w:t>
      </w:r>
      <w:r w:rsidRPr="00A50C1F">
        <w:rPr>
          <w:rFonts w:ascii="Arial" w:hAnsi="Arial" w:cs="Arial"/>
          <w:color w:val="000000"/>
          <w:sz w:val="22"/>
          <w:szCs w:val="22"/>
          <w:highlight w:val="magenta"/>
        </w:rPr>
        <w:t>CG</w:t>
      </w:r>
      <w:r w:rsidRPr="00A50C1F">
        <w:rPr>
          <w:rFonts w:ascii="Arial" w:hAnsi="Arial" w:cs="Arial"/>
          <w:color w:val="000000"/>
          <w:sz w:val="22"/>
          <w:szCs w:val="22"/>
        </w:rPr>
        <w:t>AGGCTCCCAG</w:t>
      </w:r>
      <w:r w:rsidRPr="00A50C1F">
        <w:rPr>
          <w:rFonts w:ascii="Arial" w:hAnsi="Arial" w:cs="Arial"/>
          <w:color w:val="000000"/>
          <w:sz w:val="22"/>
          <w:szCs w:val="22"/>
          <w:highlight w:val="magenta"/>
        </w:rPr>
        <w:t>CG</w:t>
      </w:r>
      <w:r w:rsidRPr="00A50C1F">
        <w:rPr>
          <w:rFonts w:ascii="Arial" w:hAnsi="Arial" w:cs="Arial"/>
          <w:color w:val="000000"/>
          <w:sz w:val="22"/>
          <w:szCs w:val="22"/>
        </w:rPr>
        <w:t>CAGCCCCAGGAGGAATCCTGC</w:t>
      </w:r>
      <w:r w:rsidRPr="00A50C1F">
        <w:rPr>
          <w:rFonts w:ascii="Arial" w:hAnsi="Arial" w:cs="Arial"/>
          <w:color w:val="000000"/>
          <w:sz w:val="22"/>
          <w:szCs w:val="22"/>
          <w:highlight w:val="magenta"/>
        </w:rPr>
        <w:t>CG</w:t>
      </w:r>
      <w:r w:rsidRPr="00A50C1F">
        <w:rPr>
          <w:rFonts w:ascii="Arial" w:hAnsi="Arial" w:cs="Arial"/>
          <w:color w:val="000000"/>
          <w:sz w:val="22"/>
          <w:szCs w:val="22"/>
        </w:rPr>
        <w:t>GC AACTAGAAGCTGTG</w:t>
      </w:r>
      <w:r w:rsidRPr="00A50C1F">
        <w:rPr>
          <w:rFonts w:ascii="Arial" w:hAnsi="Arial" w:cs="Arial"/>
          <w:color w:val="000000"/>
          <w:sz w:val="22"/>
          <w:szCs w:val="22"/>
          <w:highlight w:val="magenta"/>
        </w:rPr>
        <w:t>CGCG</w:t>
      </w:r>
      <w:r w:rsidRPr="00A50C1F">
        <w:rPr>
          <w:rFonts w:ascii="Arial" w:hAnsi="Arial" w:cs="Arial"/>
          <w:color w:val="000000"/>
          <w:sz w:val="22"/>
          <w:szCs w:val="22"/>
        </w:rPr>
        <w:t>TGGCC</w:t>
      </w:r>
      <w:r w:rsidRPr="00A50C1F">
        <w:rPr>
          <w:rFonts w:ascii="Arial" w:hAnsi="Arial" w:cs="Arial"/>
          <w:color w:val="000000"/>
          <w:sz w:val="22"/>
          <w:szCs w:val="22"/>
          <w:highlight w:val="magenta"/>
        </w:rPr>
        <w:t>CG</w:t>
      </w:r>
      <w:r w:rsidRPr="00A50C1F">
        <w:rPr>
          <w:rFonts w:ascii="Arial" w:hAnsi="Arial" w:cs="Arial"/>
          <w:color w:val="000000"/>
          <w:sz w:val="22"/>
          <w:szCs w:val="22"/>
        </w:rPr>
        <w:t>GCT</w:t>
      </w:r>
      <w:r w:rsidRPr="00A50C1F">
        <w:rPr>
          <w:rFonts w:ascii="Arial" w:hAnsi="Arial" w:cs="Arial"/>
          <w:color w:val="000000"/>
          <w:sz w:val="22"/>
          <w:szCs w:val="22"/>
          <w:highlight w:val="magenta"/>
        </w:rPr>
        <w:t>CG</w:t>
      </w:r>
      <w:r w:rsidRPr="00A50C1F">
        <w:rPr>
          <w:rFonts w:ascii="Arial" w:hAnsi="Arial" w:cs="Arial"/>
          <w:color w:val="000000"/>
          <w:sz w:val="22"/>
          <w:szCs w:val="22"/>
        </w:rPr>
        <w:t>G</w:t>
      </w:r>
      <w:r w:rsidRPr="00A50C1F">
        <w:rPr>
          <w:rFonts w:ascii="Arial" w:hAnsi="Arial" w:cs="Arial"/>
          <w:color w:val="000000"/>
          <w:sz w:val="22"/>
          <w:szCs w:val="22"/>
          <w:highlight w:val="magenta"/>
        </w:rPr>
        <w:t>CG</w:t>
      </w:r>
      <w:r w:rsidRPr="00A50C1F">
        <w:rPr>
          <w:rFonts w:ascii="Arial" w:hAnsi="Arial" w:cs="Arial"/>
          <w:color w:val="000000"/>
          <w:sz w:val="22"/>
          <w:szCs w:val="22"/>
        </w:rPr>
        <w:t>C</w:t>
      </w:r>
      <w:r w:rsidRPr="00A50C1F">
        <w:rPr>
          <w:rFonts w:ascii="Arial" w:hAnsi="Arial" w:cs="Arial"/>
          <w:color w:val="000000"/>
          <w:sz w:val="22"/>
          <w:szCs w:val="22"/>
          <w:highlight w:val="magenta"/>
        </w:rPr>
        <w:t>CG</w:t>
      </w:r>
      <w:r w:rsidRPr="00A50C1F">
        <w:rPr>
          <w:rFonts w:ascii="Arial" w:hAnsi="Arial" w:cs="Arial"/>
          <w:color w:val="000000"/>
          <w:sz w:val="22"/>
          <w:szCs w:val="22"/>
        </w:rPr>
        <w:t>ACAACAGC</w:t>
      </w:r>
      <w:r w:rsidRPr="00A50C1F">
        <w:rPr>
          <w:rFonts w:ascii="Arial" w:hAnsi="Arial" w:cs="Arial"/>
          <w:color w:val="000000"/>
          <w:sz w:val="22"/>
          <w:szCs w:val="22"/>
          <w:highlight w:val="magenta"/>
        </w:rPr>
        <w:t>CG</w:t>
      </w:r>
      <w:r w:rsidRPr="00A50C1F">
        <w:rPr>
          <w:rFonts w:ascii="Arial" w:hAnsi="Arial" w:cs="Arial"/>
          <w:color w:val="000000"/>
          <w:sz w:val="22"/>
          <w:szCs w:val="22"/>
        </w:rPr>
        <w:t>GAGC GGC</w:t>
      </w:r>
      <w:r w:rsidRPr="00A50C1F">
        <w:rPr>
          <w:rFonts w:ascii="Arial" w:hAnsi="Arial" w:cs="Arial"/>
          <w:color w:val="000000"/>
          <w:sz w:val="22"/>
          <w:szCs w:val="22"/>
          <w:highlight w:val="magenta"/>
        </w:rPr>
        <w:t>CG</w:t>
      </w:r>
      <w:r w:rsidRPr="00A50C1F">
        <w:rPr>
          <w:rFonts w:ascii="Arial" w:hAnsi="Arial" w:cs="Arial"/>
          <w:color w:val="000000"/>
          <w:sz w:val="22"/>
          <w:szCs w:val="22"/>
        </w:rPr>
        <w:t>GGCCTGCAG</w:t>
      </w:r>
      <w:r w:rsidRPr="00A50C1F">
        <w:rPr>
          <w:rFonts w:ascii="Arial" w:hAnsi="Arial" w:cs="Arial"/>
          <w:color w:val="000000"/>
          <w:sz w:val="22"/>
          <w:szCs w:val="22"/>
          <w:highlight w:val="magenta"/>
        </w:rPr>
        <w:t>CG</w:t>
      </w:r>
      <w:r w:rsidRPr="00A50C1F">
        <w:rPr>
          <w:rFonts w:ascii="Arial" w:hAnsi="Arial" w:cs="Arial"/>
          <w:color w:val="000000"/>
          <w:sz w:val="22"/>
          <w:szCs w:val="22"/>
        </w:rPr>
        <w:t>AACCTC</w:t>
      </w:r>
      <w:r w:rsidRPr="00A50C1F">
        <w:rPr>
          <w:rFonts w:ascii="Arial" w:hAnsi="Arial" w:cs="Arial"/>
          <w:color w:val="000000"/>
          <w:sz w:val="22"/>
          <w:szCs w:val="22"/>
          <w:highlight w:val="magenta"/>
        </w:rPr>
        <w:t>CG</w:t>
      </w:r>
      <w:r w:rsidRPr="00A50C1F">
        <w:rPr>
          <w:rFonts w:ascii="Arial" w:hAnsi="Arial" w:cs="Arial"/>
          <w:color w:val="000000"/>
          <w:sz w:val="22"/>
          <w:szCs w:val="22"/>
        </w:rPr>
        <w:t>CATCCAGGTGGGGTCTC</w:t>
      </w:r>
      <w:r w:rsidRPr="00A50C1F">
        <w:rPr>
          <w:rFonts w:ascii="Arial" w:hAnsi="Arial" w:cs="Arial"/>
          <w:color w:val="000000"/>
          <w:sz w:val="22"/>
          <w:szCs w:val="22"/>
          <w:highlight w:val="magenta"/>
        </w:rPr>
        <w:t>CGCG</w:t>
      </w:r>
      <w:r w:rsidRPr="00A50C1F">
        <w:rPr>
          <w:rFonts w:ascii="Arial" w:hAnsi="Arial" w:cs="Arial"/>
          <w:color w:val="000000"/>
          <w:sz w:val="22"/>
          <w:szCs w:val="22"/>
        </w:rPr>
        <w:t>CCCCA ATTCCACCC</w:t>
      </w:r>
      <w:r w:rsidRPr="00A50C1F">
        <w:rPr>
          <w:rFonts w:ascii="Arial" w:hAnsi="Arial" w:cs="Arial"/>
          <w:color w:val="000000"/>
          <w:sz w:val="22"/>
          <w:szCs w:val="22"/>
          <w:highlight w:val="magenta"/>
        </w:rPr>
        <w:t>CG</w:t>
      </w:r>
      <w:r w:rsidRPr="00A50C1F">
        <w:rPr>
          <w:rFonts w:ascii="Arial" w:hAnsi="Arial" w:cs="Arial"/>
          <w:color w:val="000000"/>
          <w:sz w:val="22"/>
          <w:szCs w:val="22"/>
        </w:rPr>
        <w:t>CCC</w:t>
      </w:r>
      <w:r w:rsidRPr="00A50C1F">
        <w:rPr>
          <w:rFonts w:ascii="Arial" w:hAnsi="Arial" w:cs="Arial"/>
          <w:color w:val="000000"/>
          <w:sz w:val="22"/>
          <w:szCs w:val="22"/>
          <w:highlight w:val="magenta"/>
        </w:rPr>
        <w:t>CG</w:t>
      </w:r>
      <w:r w:rsidRPr="00A50C1F">
        <w:rPr>
          <w:rFonts w:ascii="Arial" w:hAnsi="Arial" w:cs="Arial"/>
          <w:color w:val="000000"/>
          <w:sz w:val="22"/>
          <w:szCs w:val="22"/>
        </w:rPr>
        <w:t>CCAT</w:t>
      </w:r>
      <w:r w:rsidRPr="00A50C1F">
        <w:rPr>
          <w:rFonts w:ascii="Arial" w:hAnsi="Arial" w:cs="Arial"/>
          <w:color w:val="000000"/>
          <w:sz w:val="22"/>
          <w:szCs w:val="22"/>
          <w:highlight w:val="magenta"/>
        </w:rPr>
        <w:t>CG</w:t>
      </w:r>
      <w:r w:rsidRPr="00A50C1F">
        <w:rPr>
          <w:rFonts w:ascii="Arial" w:hAnsi="Arial" w:cs="Arial"/>
          <w:color w:val="000000"/>
          <w:sz w:val="22"/>
          <w:szCs w:val="22"/>
        </w:rPr>
        <w:t>GCACTCCC</w:t>
      </w:r>
      <w:r w:rsidRPr="00A50C1F">
        <w:rPr>
          <w:rFonts w:ascii="Arial" w:hAnsi="Arial" w:cs="Arial"/>
          <w:color w:val="000000"/>
          <w:sz w:val="22"/>
          <w:szCs w:val="22"/>
          <w:highlight w:val="magenta"/>
        </w:rPr>
        <w:t>CG</w:t>
      </w:r>
      <w:r w:rsidRPr="00A50C1F">
        <w:rPr>
          <w:rFonts w:ascii="Arial" w:hAnsi="Arial" w:cs="Arial"/>
          <w:color w:val="000000"/>
          <w:sz w:val="22"/>
          <w:szCs w:val="22"/>
        </w:rPr>
        <w:t>CAAGTG</w:t>
      </w:r>
      <w:r w:rsidRPr="00A50C1F">
        <w:rPr>
          <w:rFonts w:ascii="Arial" w:hAnsi="Arial" w:cs="Arial"/>
          <w:color w:val="000000"/>
          <w:sz w:val="22"/>
          <w:szCs w:val="22"/>
          <w:highlight w:val="magenta"/>
        </w:rPr>
        <w:t>CG</w:t>
      </w:r>
      <w:r w:rsidRPr="00A50C1F">
        <w:rPr>
          <w:rFonts w:ascii="Arial" w:hAnsi="Arial" w:cs="Arial"/>
          <w:color w:val="000000"/>
          <w:sz w:val="22"/>
          <w:szCs w:val="22"/>
        </w:rPr>
        <w:t>GGGTTTCCAC C</w:t>
      </w:r>
      <w:r w:rsidRPr="00A50C1F">
        <w:rPr>
          <w:rFonts w:ascii="Arial" w:hAnsi="Arial" w:cs="Arial"/>
          <w:color w:val="000000"/>
          <w:sz w:val="22"/>
          <w:szCs w:val="22"/>
          <w:highlight w:val="magenta"/>
        </w:rPr>
        <w:t>CG</w:t>
      </w:r>
      <w:r w:rsidRPr="00A50C1F">
        <w:rPr>
          <w:rFonts w:ascii="Arial" w:hAnsi="Arial" w:cs="Arial"/>
          <w:color w:val="000000"/>
          <w:sz w:val="22"/>
          <w:szCs w:val="22"/>
        </w:rPr>
        <w:t>CCC</w:t>
      </w:r>
      <w:r w:rsidRPr="00A50C1F">
        <w:rPr>
          <w:rFonts w:ascii="Arial" w:hAnsi="Arial" w:cs="Arial"/>
          <w:color w:val="000000"/>
          <w:sz w:val="22"/>
          <w:szCs w:val="22"/>
          <w:highlight w:val="magenta"/>
        </w:rPr>
        <w:t>CG</w:t>
      </w:r>
      <w:r w:rsidRPr="00A50C1F">
        <w:rPr>
          <w:rFonts w:ascii="Arial" w:hAnsi="Arial" w:cs="Arial"/>
          <w:color w:val="000000"/>
          <w:sz w:val="22"/>
          <w:szCs w:val="22"/>
        </w:rPr>
        <w:t>G</w:t>
      </w:r>
      <w:r w:rsidRPr="00A50C1F">
        <w:rPr>
          <w:rFonts w:ascii="Arial" w:hAnsi="Arial" w:cs="Arial"/>
          <w:color w:val="000000"/>
          <w:sz w:val="22"/>
          <w:szCs w:val="22"/>
          <w:highlight w:val="magenta"/>
        </w:rPr>
        <w:t>CG</w:t>
      </w:r>
      <w:r w:rsidRPr="00A50C1F">
        <w:rPr>
          <w:rFonts w:ascii="Arial" w:hAnsi="Arial" w:cs="Arial"/>
          <w:color w:val="000000"/>
          <w:sz w:val="22"/>
          <w:szCs w:val="22"/>
        </w:rPr>
        <w:t>TTGG</w:t>
      </w:r>
      <w:r w:rsidRPr="00A50C1F">
        <w:rPr>
          <w:rFonts w:ascii="Arial" w:hAnsi="Arial" w:cs="Arial"/>
          <w:color w:val="000000"/>
          <w:sz w:val="22"/>
          <w:szCs w:val="22"/>
          <w:highlight w:val="magenta"/>
        </w:rPr>
        <w:t>CG</w:t>
      </w:r>
      <w:r w:rsidRPr="00A50C1F">
        <w:rPr>
          <w:rFonts w:ascii="Arial" w:hAnsi="Arial" w:cs="Arial"/>
          <w:color w:val="000000"/>
          <w:sz w:val="22"/>
          <w:szCs w:val="22"/>
        </w:rPr>
        <w:t>CCCACTCA</w:t>
      </w:r>
      <w:r w:rsidRPr="00A50C1F">
        <w:rPr>
          <w:rFonts w:ascii="Arial" w:hAnsi="Arial" w:cs="Arial"/>
          <w:color w:val="000000"/>
          <w:sz w:val="22"/>
          <w:szCs w:val="22"/>
          <w:highlight w:val="magenta"/>
        </w:rPr>
        <w:t>CG</w:t>
      </w:r>
      <w:r w:rsidRPr="00A50C1F">
        <w:rPr>
          <w:rFonts w:ascii="Arial" w:hAnsi="Arial" w:cs="Arial"/>
          <w:color w:val="000000"/>
          <w:sz w:val="22"/>
          <w:szCs w:val="22"/>
        </w:rPr>
        <w:t>GTCTCCCT</w:t>
      </w:r>
      <w:r w:rsidRPr="00A50C1F">
        <w:rPr>
          <w:rFonts w:ascii="Arial" w:hAnsi="Arial" w:cs="Arial"/>
          <w:color w:val="000000"/>
          <w:sz w:val="22"/>
          <w:szCs w:val="22"/>
          <w:highlight w:val="magenta"/>
        </w:rPr>
        <w:t>CG</w:t>
      </w:r>
      <w:r w:rsidRPr="00A50C1F">
        <w:rPr>
          <w:rFonts w:ascii="Arial" w:hAnsi="Arial" w:cs="Arial"/>
          <w:color w:val="000000"/>
          <w:sz w:val="22"/>
          <w:szCs w:val="22"/>
        </w:rPr>
        <w:t>CCCCCT</w:t>
      </w:r>
      <w:r w:rsidRPr="00A50C1F">
        <w:rPr>
          <w:rFonts w:ascii="Arial" w:hAnsi="Arial" w:cs="Arial"/>
          <w:color w:val="000000"/>
          <w:sz w:val="22"/>
          <w:szCs w:val="22"/>
          <w:highlight w:val="magenta"/>
        </w:rPr>
        <w:t>CG</w:t>
      </w:r>
      <w:r w:rsidRPr="00A50C1F">
        <w:rPr>
          <w:rFonts w:ascii="Arial" w:hAnsi="Arial" w:cs="Arial"/>
          <w:color w:val="000000"/>
          <w:sz w:val="22"/>
          <w:szCs w:val="22"/>
        </w:rPr>
        <w:t xml:space="preserve">GGAGA </w:t>
      </w:r>
      <w:r w:rsidRPr="00A50C1F">
        <w:rPr>
          <w:rFonts w:ascii="Arial" w:hAnsi="Arial" w:cs="Arial"/>
          <w:color w:val="000000"/>
          <w:sz w:val="22"/>
          <w:szCs w:val="22"/>
          <w:highlight w:val="magenta"/>
        </w:rPr>
        <w:t>CG</w:t>
      </w:r>
      <w:r w:rsidRPr="00A50C1F">
        <w:rPr>
          <w:rFonts w:ascii="Arial" w:hAnsi="Arial" w:cs="Arial"/>
          <w:color w:val="000000"/>
          <w:sz w:val="22"/>
          <w:szCs w:val="22"/>
        </w:rPr>
        <w:t>CTCCC</w:t>
      </w:r>
      <w:r w:rsidRPr="00A50C1F">
        <w:rPr>
          <w:rFonts w:ascii="Arial" w:hAnsi="Arial" w:cs="Arial"/>
          <w:color w:val="000000"/>
          <w:sz w:val="22"/>
          <w:szCs w:val="22"/>
          <w:highlight w:val="magenta"/>
        </w:rPr>
        <w:t>CGCG</w:t>
      </w:r>
      <w:r w:rsidRPr="00A50C1F">
        <w:rPr>
          <w:rFonts w:ascii="Arial" w:hAnsi="Arial" w:cs="Arial"/>
          <w:color w:val="000000"/>
          <w:sz w:val="22"/>
          <w:szCs w:val="22"/>
        </w:rPr>
        <w:t>TTCTATCC</w:t>
      </w:r>
      <w:r w:rsidRPr="00A50C1F">
        <w:rPr>
          <w:rFonts w:ascii="Arial" w:hAnsi="Arial" w:cs="Arial"/>
          <w:color w:val="000000"/>
          <w:sz w:val="22"/>
          <w:szCs w:val="22"/>
          <w:highlight w:val="magenta"/>
        </w:rPr>
        <w:t>CG</w:t>
      </w:r>
      <w:r w:rsidRPr="00A50C1F">
        <w:rPr>
          <w:rFonts w:ascii="Arial" w:hAnsi="Arial" w:cs="Arial"/>
          <w:color w:val="000000"/>
          <w:sz w:val="22"/>
          <w:szCs w:val="22"/>
        </w:rPr>
        <w:t>CCA</w:t>
      </w:r>
      <w:r w:rsidRPr="00A50C1F">
        <w:rPr>
          <w:rFonts w:ascii="Arial" w:hAnsi="Arial" w:cs="Arial"/>
          <w:color w:val="000000"/>
          <w:sz w:val="22"/>
          <w:szCs w:val="22"/>
          <w:highlight w:val="magenta"/>
        </w:rPr>
        <w:t>CG</w:t>
      </w:r>
      <w:r w:rsidRPr="00A50C1F">
        <w:rPr>
          <w:rFonts w:ascii="Arial" w:hAnsi="Arial" w:cs="Arial"/>
          <w:color w:val="000000"/>
          <w:sz w:val="22"/>
          <w:szCs w:val="22"/>
        </w:rPr>
        <w:t>CCCTGG</w:t>
      </w:r>
      <w:r w:rsidRPr="00A50C1F">
        <w:rPr>
          <w:rFonts w:ascii="Arial" w:hAnsi="Arial" w:cs="Arial"/>
          <w:color w:val="000000"/>
          <w:sz w:val="22"/>
          <w:szCs w:val="22"/>
          <w:highlight w:val="magenta"/>
        </w:rPr>
        <w:t>CG</w:t>
      </w:r>
      <w:r w:rsidRPr="00A50C1F">
        <w:rPr>
          <w:rFonts w:ascii="Arial" w:hAnsi="Arial" w:cs="Arial"/>
          <w:color w:val="000000"/>
          <w:sz w:val="22"/>
          <w:szCs w:val="22"/>
        </w:rPr>
        <w:t>CGCCC</w:t>
      </w:r>
      <w:r w:rsidRPr="00A50C1F">
        <w:rPr>
          <w:rFonts w:ascii="Arial" w:hAnsi="Arial" w:cs="Arial"/>
          <w:color w:val="000000"/>
          <w:sz w:val="22"/>
          <w:szCs w:val="22"/>
          <w:highlight w:val="magenta"/>
        </w:rPr>
        <w:t>CG</w:t>
      </w:r>
      <w:r w:rsidRPr="00A50C1F">
        <w:rPr>
          <w:rFonts w:ascii="Arial" w:hAnsi="Arial" w:cs="Arial"/>
          <w:color w:val="000000"/>
          <w:sz w:val="22"/>
          <w:szCs w:val="22"/>
        </w:rPr>
        <w:t>CAAAAGATG TGACCC</w:t>
      </w:r>
      <w:r w:rsidRPr="00A50C1F">
        <w:rPr>
          <w:rFonts w:ascii="Arial" w:hAnsi="Arial" w:cs="Arial"/>
          <w:color w:val="000000"/>
          <w:sz w:val="22"/>
          <w:szCs w:val="22"/>
          <w:highlight w:val="magenta"/>
        </w:rPr>
        <w:t>CG</w:t>
      </w:r>
      <w:r w:rsidRPr="00A50C1F">
        <w:rPr>
          <w:rFonts w:ascii="Arial" w:hAnsi="Arial" w:cs="Arial"/>
          <w:color w:val="000000"/>
          <w:sz w:val="22"/>
          <w:szCs w:val="22"/>
        </w:rPr>
        <w:t>CCCCCCTG</w:t>
      </w:r>
      <w:r w:rsidRPr="00A50C1F">
        <w:rPr>
          <w:rFonts w:ascii="Arial" w:hAnsi="Arial" w:cs="Arial"/>
          <w:color w:val="000000"/>
          <w:sz w:val="22"/>
          <w:szCs w:val="22"/>
          <w:highlight w:val="magenta"/>
        </w:rPr>
        <w:t>CG</w:t>
      </w:r>
      <w:r w:rsidRPr="00A50C1F">
        <w:rPr>
          <w:rFonts w:ascii="Arial" w:hAnsi="Arial" w:cs="Arial"/>
          <w:color w:val="000000"/>
          <w:sz w:val="22"/>
          <w:szCs w:val="22"/>
        </w:rPr>
        <w:t>ATCTC</w:t>
      </w:r>
      <w:r w:rsidRPr="00A50C1F">
        <w:rPr>
          <w:rFonts w:ascii="Arial" w:hAnsi="Arial" w:cs="Arial"/>
          <w:color w:val="000000"/>
          <w:sz w:val="22"/>
          <w:szCs w:val="22"/>
          <w:highlight w:val="magenta"/>
        </w:rPr>
        <w:t>CG</w:t>
      </w:r>
      <w:r w:rsidRPr="00A50C1F">
        <w:rPr>
          <w:rFonts w:ascii="Arial" w:hAnsi="Arial" w:cs="Arial"/>
          <w:color w:val="000000"/>
          <w:sz w:val="22"/>
          <w:szCs w:val="22"/>
        </w:rPr>
        <w:t>CTCCCC</w:t>
      </w:r>
      <w:r w:rsidRPr="00A50C1F">
        <w:rPr>
          <w:rFonts w:ascii="Arial" w:hAnsi="Arial" w:cs="Arial"/>
          <w:color w:val="000000"/>
          <w:sz w:val="22"/>
          <w:szCs w:val="22"/>
          <w:highlight w:val="magenta"/>
        </w:rPr>
        <w:t>CG</w:t>
      </w:r>
      <w:r w:rsidRPr="00A50C1F">
        <w:rPr>
          <w:rFonts w:ascii="Arial" w:hAnsi="Arial" w:cs="Arial"/>
          <w:color w:val="000000"/>
          <w:sz w:val="22"/>
          <w:szCs w:val="22"/>
        </w:rPr>
        <w:t>GA</w:t>
      </w:r>
      <w:r w:rsidRPr="00A50C1F">
        <w:rPr>
          <w:rFonts w:ascii="Arial" w:hAnsi="Arial" w:cs="Arial"/>
          <w:color w:val="000000"/>
          <w:sz w:val="22"/>
          <w:szCs w:val="22"/>
          <w:highlight w:val="magenta"/>
        </w:rPr>
        <w:t>CG</w:t>
      </w:r>
      <w:r w:rsidRPr="00A50C1F">
        <w:rPr>
          <w:rFonts w:ascii="Arial" w:hAnsi="Arial" w:cs="Arial"/>
          <w:color w:val="000000"/>
          <w:sz w:val="22"/>
          <w:szCs w:val="22"/>
        </w:rPr>
        <w:t>CTGCCCCTGCCCC CACTTGGGGAGCTC</w:t>
      </w:r>
      <w:r w:rsidRPr="00A50C1F">
        <w:rPr>
          <w:rFonts w:ascii="Arial" w:hAnsi="Arial" w:cs="Arial"/>
          <w:color w:val="000000"/>
          <w:sz w:val="22"/>
          <w:szCs w:val="22"/>
          <w:highlight w:val="magenta"/>
        </w:rPr>
        <w:t>CG</w:t>
      </w:r>
      <w:r w:rsidRPr="00A50C1F">
        <w:rPr>
          <w:rFonts w:ascii="Arial" w:hAnsi="Arial" w:cs="Arial"/>
          <w:color w:val="000000"/>
          <w:sz w:val="22"/>
          <w:szCs w:val="22"/>
        </w:rPr>
        <w:t>GGCATCTCTAAAGCCCCCA</w:t>
      </w:r>
      <w:r w:rsidRPr="00A50C1F">
        <w:rPr>
          <w:rFonts w:ascii="Arial" w:hAnsi="Arial" w:cs="Arial"/>
          <w:color w:val="000000"/>
          <w:sz w:val="22"/>
          <w:szCs w:val="22"/>
          <w:highlight w:val="yellow"/>
        </w:rPr>
        <w:t>ACCAGAGTCCTCCAACCCAC</w:t>
      </w:r>
    </w:p>
    <w:p w14:paraId="46626A8C" w14:textId="77777777" w:rsidR="000F7048" w:rsidRPr="00A50C1F" w:rsidRDefault="000F7048" w:rsidP="000F7048">
      <w:pPr>
        <w:outlineLvl w:val="0"/>
        <w:rPr>
          <w:rFonts w:ascii="Arial" w:hAnsi="Arial" w:cs="Arial"/>
          <w:b/>
          <w:sz w:val="22"/>
          <w:szCs w:val="22"/>
        </w:rPr>
      </w:pPr>
    </w:p>
    <w:p w14:paraId="489E62C3" w14:textId="77777777" w:rsidR="000F7048" w:rsidRDefault="000F7048" w:rsidP="000F7048">
      <w:pPr>
        <w:rPr>
          <w:rFonts w:ascii="Arial" w:hAnsi="Arial" w:cs="Arial"/>
          <w:i/>
          <w:sz w:val="22"/>
          <w:szCs w:val="22"/>
        </w:rPr>
      </w:pPr>
    </w:p>
    <w:p w14:paraId="7F3FADE0" w14:textId="77777777" w:rsidR="000F7048" w:rsidRDefault="000F7048" w:rsidP="000F7048">
      <w:pPr>
        <w:rPr>
          <w:rFonts w:ascii="Arial" w:hAnsi="Arial" w:cs="Arial"/>
          <w:color w:val="000000"/>
          <w:sz w:val="22"/>
          <w:szCs w:val="22"/>
          <w:highlight w:val="yellow"/>
        </w:rPr>
      </w:pPr>
      <w:r w:rsidRPr="006A65AE">
        <w:rPr>
          <w:rFonts w:ascii="Arial" w:hAnsi="Arial" w:cs="Arial"/>
          <w:i/>
          <w:sz w:val="22"/>
          <w:szCs w:val="22"/>
        </w:rPr>
        <w:t>PFKP</w:t>
      </w:r>
      <w:r w:rsidRPr="006A65AE">
        <w:rPr>
          <w:rFonts w:ascii="Arial" w:hAnsi="Arial" w:cs="Arial"/>
          <w:sz w:val="22"/>
          <w:szCs w:val="22"/>
        </w:rPr>
        <w:t xml:space="preserve"> promoter region sequence with </w:t>
      </w:r>
      <w:r>
        <w:rPr>
          <w:rFonts w:ascii="Arial" w:hAnsi="Arial" w:cs="Arial"/>
          <w:sz w:val="22"/>
          <w:szCs w:val="22"/>
        </w:rPr>
        <w:t>color annotation</w:t>
      </w:r>
      <w:r w:rsidRPr="006A65AE">
        <w:rPr>
          <w:rFonts w:ascii="Arial" w:hAnsi="Arial" w:cs="Arial"/>
          <w:sz w:val="22"/>
          <w:szCs w:val="22"/>
        </w:rPr>
        <w:t xml:space="preserve"> for </w:t>
      </w:r>
      <w:r w:rsidRPr="006A65AE">
        <w:rPr>
          <w:rFonts w:ascii="Arial" w:hAnsi="Arial" w:cs="Arial"/>
          <w:i/>
          <w:sz w:val="22"/>
          <w:szCs w:val="22"/>
        </w:rPr>
        <w:t>HhaI</w:t>
      </w:r>
      <w:r>
        <w:rPr>
          <w:rFonts w:ascii="Arial" w:hAnsi="Arial" w:cs="Arial"/>
          <w:i/>
          <w:sz w:val="22"/>
          <w:szCs w:val="22"/>
        </w:rPr>
        <w:t xml:space="preserve"> </w:t>
      </w:r>
      <w:r w:rsidRPr="006A65AE">
        <w:rPr>
          <w:rFonts w:ascii="Arial" w:hAnsi="Arial" w:cs="Arial"/>
          <w:sz w:val="22"/>
          <w:szCs w:val="22"/>
        </w:rPr>
        <w:t>condition: pink denotes CpGs</w:t>
      </w:r>
      <w:r>
        <w:rPr>
          <w:rFonts w:ascii="Arial" w:hAnsi="Arial" w:cs="Arial"/>
          <w:sz w:val="22"/>
          <w:szCs w:val="22"/>
        </w:rPr>
        <w:t xml:space="preserve"> methylated by </w:t>
      </w:r>
      <w:r w:rsidRPr="006A65AE">
        <w:rPr>
          <w:rFonts w:ascii="Arial" w:hAnsi="Arial" w:cs="Arial"/>
          <w:i/>
          <w:sz w:val="22"/>
          <w:szCs w:val="22"/>
        </w:rPr>
        <w:t>HhaI</w:t>
      </w:r>
      <w:r w:rsidRPr="006A65AE">
        <w:rPr>
          <w:rFonts w:ascii="Arial" w:hAnsi="Arial" w:cs="Arial"/>
          <w:sz w:val="22"/>
          <w:szCs w:val="22"/>
        </w:rPr>
        <w:t>, yellow denotes primer sequence</w:t>
      </w:r>
      <w:r w:rsidRPr="006A65AE">
        <w:rPr>
          <w:rFonts w:ascii="Arial" w:hAnsi="Arial" w:cs="Arial"/>
          <w:color w:val="000000"/>
          <w:sz w:val="22"/>
          <w:szCs w:val="22"/>
          <w:highlight w:val="yellow"/>
        </w:rPr>
        <w:t xml:space="preserve"> </w:t>
      </w:r>
    </w:p>
    <w:p w14:paraId="48FE5ED0" w14:textId="77777777" w:rsidR="000F7048" w:rsidRDefault="000F7048" w:rsidP="000F7048">
      <w:pPr>
        <w:rPr>
          <w:rFonts w:ascii="Arial" w:hAnsi="Arial" w:cs="Arial"/>
          <w:color w:val="000000"/>
          <w:sz w:val="22"/>
          <w:szCs w:val="22"/>
          <w:highlight w:val="yellow"/>
        </w:rPr>
      </w:pPr>
    </w:p>
    <w:p w14:paraId="618835E4" w14:textId="77777777" w:rsidR="000F7048" w:rsidRPr="00F50D94" w:rsidRDefault="000F7048" w:rsidP="000F7048">
      <w:pPr>
        <w:rPr>
          <w:rFonts w:ascii="Arial" w:hAnsi="Arial" w:cs="Arial"/>
          <w:sz w:val="22"/>
          <w:szCs w:val="22"/>
        </w:rPr>
      </w:pPr>
      <w:r w:rsidRPr="00A50C1F">
        <w:rPr>
          <w:rFonts w:ascii="Arial" w:hAnsi="Arial" w:cs="Arial"/>
          <w:color w:val="000000"/>
          <w:sz w:val="22"/>
          <w:szCs w:val="22"/>
          <w:highlight w:val="yellow"/>
        </w:rPr>
        <w:t>CTTTGGATG</w:t>
      </w:r>
      <w:r w:rsidRPr="00A50C1F">
        <w:rPr>
          <w:rFonts w:ascii="Arial" w:hAnsi="Arial" w:cs="Arial"/>
          <w:color w:val="000000"/>
          <w:sz w:val="22"/>
          <w:szCs w:val="22"/>
          <w:highlight w:val="magenta"/>
        </w:rPr>
        <w:t>CG</w:t>
      </w:r>
      <w:r w:rsidRPr="00A50C1F">
        <w:rPr>
          <w:rFonts w:ascii="Arial" w:hAnsi="Arial" w:cs="Arial"/>
          <w:color w:val="000000"/>
          <w:sz w:val="22"/>
          <w:szCs w:val="22"/>
          <w:highlight w:val="yellow"/>
        </w:rPr>
        <w:t>CGTATTTC</w:t>
      </w:r>
      <w:r w:rsidRPr="00A50C1F">
        <w:rPr>
          <w:rFonts w:ascii="Arial" w:hAnsi="Arial" w:cs="Arial"/>
          <w:color w:val="000000"/>
          <w:sz w:val="22"/>
          <w:szCs w:val="22"/>
        </w:rPr>
        <w:t>AGCACGTGGAGTTGGCCAGTGGAGCCGG CCGAGGTCGACACAGCGTACCGCAG</w:t>
      </w:r>
      <w:r w:rsidRPr="00A50C1F">
        <w:rPr>
          <w:rFonts w:ascii="Arial" w:hAnsi="Arial" w:cs="Arial"/>
          <w:color w:val="000000"/>
          <w:sz w:val="22"/>
          <w:szCs w:val="22"/>
          <w:highlight w:val="magenta"/>
        </w:rPr>
        <w:t>CG</w:t>
      </w:r>
      <w:r w:rsidRPr="00A50C1F">
        <w:rPr>
          <w:rFonts w:ascii="Arial" w:hAnsi="Arial" w:cs="Arial"/>
          <w:color w:val="000000"/>
          <w:sz w:val="22"/>
          <w:szCs w:val="22"/>
        </w:rPr>
        <w:t>CGCGTGTCCGTGGGGAGGAAGGG TCGTCCCGCCTCCCTCCCAGGCCAGTCCTGTTG</w:t>
      </w:r>
      <w:r w:rsidRPr="00A50C1F">
        <w:rPr>
          <w:rFonts w:ascii="Arial" w:hAnsi="Arial" w:cs="Arial"/>
          <w:color w:val="000000"/>
          <w:sz w:val="22"/>
          <w:szCs w:val="22"/>
          <w:highlight w:val="magenta"/>
        </w:rPr>
        <w:t>CG</w:t>
      </w:r>
      <w:r w:rsidRPr="00A50C1F">
        <w:rPr>
          <w:rFonts w:ascii="Arial" w:hAnsi="Arial" w:cs="Arial"/>
          <w:color w:val="000000"/>
          <w:sz w:val="22"/>
          <w:szCs w:val="22"/>
        </w:rPr>
        <w:t>CCTCCTCCTGCCCCA CTCTGACTTTCG</w:t>
      </w:r>
      <w:r w:rsidRPr="00A50C1F">
        <w:rPr>
          <w:rFonts w:ascii="Arial" w:hAnsi="Arial" w:cs="Arial"/>
          <w:color w:val="000000"/>
          <w:sz w:val="22"/>
          <w:szCs w:val="22"/>
          <w:highlight w:val="magenta"/>
        </w:rPr>
        <w:t>CG</w:t>
      </w:r>
      <w:r w:rsidRPr="00A50C1F">
        <w:rPr>
          <w:rFonts w:ascii="Arial" w:hAnsi="Arial" w:cs="Arial"/>
          <w:color w:val="000000"/>
          <w:sz w:val="22"/>
          <w:szCs w:val="22"/>
        </w:rPr>
        <w:t>CGCCCAGGTGTCTCTGAGGGTCG</w:t>
      </w:r>
      <w:r w:rsidRPr="00A50C1F">
        <w:rPr>
          <w:rFonts w:ascii="Arial" w:hAnsi="Arial" w:cs="Arial"/>
          <w:color w:val="000000"/>
          <w:sz w:val="22"/>
          <w:szCs w:val="22"/>
          <w:highlight w:val="magenta"/>
        </w:rPr>
        <w:t>CG</w:t>
      </w:r>
      <w:r w:rsidRPr="00A50C1F">
        <w:rPr>
          <w:rFonts w:ascii="Arial" w:hAnsi="Arial" w:cs="Arial"/>
          <w:color w:val="000000"/>
          <w:sz w:val="22"/>
          <w:szCs w:val="22"/>
        </w:rPr>
        <w:t>CCCCGATACCC TCCTCCACCCCAAGGCTTCTTCTCCCCAAGGGCCGGGCTGGGAGCCCAGG AG</w:t>
      </w:r>
      <w:r w:rsidRPr="00A50C1F">
        <w:rPr>
          <w:rFonts w:ascii="Arial" w:hAnsi="Arial" w:cs="Arial"/>
          <w:color w:val="000000"/>
          <w:sz w:val="22"/>
          <w:szCs w:val="22"/>
          <w:highlight w:val="magenta"/>
        </w:rPr>
        <w:t>CG</w:t>
      </w:r>
      <w:r w:rsidRPr="00A50C1F">
        <w:rPr>
          <w:rFonts w:ascii="Arial" w:hAnsi="Arial" w:cs="Arial"/>
          <w:color w:val="000000"/>
          <w:sz w:val="22"/>
          <w:szCs w:val="22"/>
        </w:rPr>
        <w:t>CCACAGCCCCCATGGGCCCAGGAAATTGCAGCTTCGTCATAGCTAA GCCCGCCG</w:t>
      </w:r>
      <w:r w:rsidRPr="00A50C1F">
        <w:rPr>
          <w:rFonts w:ascii="Arial" w:hAnsi="Arial" w:cs="Arial"/>
          <w:color w:val="000000"/>
          <w:sz w:val="22"/>
          <w:szCs w:val="22"/>
          <w:highlight w:val="magenta"/>
        </w:rPr>
        <w:t>CG</w:t>
      </w:r>
      <w:r w:rsidRPr="00A50C1F">
        <w:rPr>
          <w:rFonts w:ascii="Arial" w:hAnsi="Arial" w:cs="Arial"/>
          <w:color w:val="000000"/>
          <w:sz w:val="22"/>
          <w:szCs w:val="22"/>
        </w:rPr>
        <w:t>CTCAGCTTTTCCCACCACCTGAAGGATTCACTCTCCATCC GTCCTTCCCGACCTCAGGCTGCAGAGAAAACTTGGGGGCGGGGGTCGAGG AAGCCGCCCCCCGAGGCTCCCAG</w:t>
      </w:r>
      <w:r w:rsidRPr="00A50C1F">
        <w:rPr>
          <w:rFonts w:ascii="Arial" w:hAnsi="Arial" w:cs="Arial"/>
          <w:color w:val="000000"/>
          <w:sz w:val="22"/>
          <w:szCs w:val="22"/>
          <w:highlight w:val="magenta"/>
        </w:rPr>
        <w:t>CG</w:t>
      </w:r>
      <w:r w:rsidRPr="00A50C1F">
        <w:rPr>
          <w:rFonts w:ascii="Arial" w:hAnsi="Arial" w:cs="Arial"/>
          <w:color w:val="000000"/>
          <w:sz w:val="22"/>
          <w:szCs w:val="22"/>
        </w:rPr>
        <w:t>CAGCCCCAGGAGGAATCCTGCCGGC AACTAGAAGCTGTG</w:t>
      </w:r>
      <w:r w:rsidRPr="00A50C1F">
        <w:rPr>
          <w:rFonts w:ascii="Arial" w:hAnsi="Arial" w:cs="Arial"/>
          <w:color w:val="000000"/>
          <w:sz w:val="22"/>
          <w:szCs w:val="22"/>
          <w:highlight w:val="magenta"/>
        </w:rPr>
        <w:t>CG</w:t>
      </w:r>
      <w:r w:rsidRPr="00A50C1F">
        <w:rPr>
          <w:rFonts w:ascii="Arial" w:hAnsi="Arial" w:cs="Arial"/>
          <w:color w:val="000000"/>
          <w:sz w:val="22"/>
          <w:szCs w:val="22"/>
        </w:rPr>
        <w:t>CGTGGCCCGGCTCGG</w:t>
      </w:r>
      <w:r w:rsidRPr="00A50C1F">
        <w:rPr>
          <w:rFonts w:ascii="Arial" w:hAnsi="Arial" w:cs="Arial"/>
          <w:color w:val="000000"/>
          <w:sz w:val="22"/>
          <w:szCs w:val="22"/>
          <w:highlight w:val="magenta"/>
        </w:rPr>
        <w:t>CG</w:t>
      </w:r>
      <w:r w:rsidRPr="00A50C1F">
        <w:rPr>
          <w:rFonts w:ascii="Arial" w:hAnsi="Arial" w:cs="Arial"/>
          <w:color w:val="000000"/>
          <w:sz w:val="22"/>
          <w:szCs w:val="22"/>
        </w:rPr>
        <w:t>CCGACAACAGCCGGAGC GGCCGGGCCTGCAGCGAACCTCCGCATCCAGGTGGGGTCTCCG</w:t>
      </w:r>
      <w:r w:rsidRPr="00A50C1F">
        <w:rPr>
          <w:rFonts w:ascii="Arial" w:hAnsi="Arial" w:cs="Arial"/>
          <w:color w:val="000000"/>
          <w:sz w:val="22"/>
          <w:szCs w:val="22"/>
          <w:highlight w:val="magenta"/>
        </w:rPr>
        <w:t>CG</w:t>
      </w:r>
      <w:r w:rsidRPr="00A50C1F">
        <w:rPr>
          <w:rFonts w:ascii="Arial" w:hAnsi="Arial" w:cs="Arial"/>
          <w:color w:val="000000"/>
          <w:sz w:val="22"/>
          <w:szCs w:val="22"/>
        </w:rPr>
        <w:t>CCCCA ATTCCACCCCGCCCCGCCATCGGCACTCCCCGCAAGTGCGGGGTTTCCAC CCGCCCCGGCGTTGG</w:t>
      </w:r>
      <w:r w:rsidRPr="00A50C1F">
        <w:rPr>
          <w:rFonts w:ascii="Arial" w:hAnsi="Arial" w:cs="Arial"/>
          <w:color w:val="000000"/>
          <w:sz w:val="22"/>
          <w:szCs w:val="22"/>
          <w:highlight w:val="magenta"/>
        </w:rPr>
        <w:t>CG</w:t>
      </w:r>
      <w:r w:rsidRPr="00A50C1F">
        <w:rPr>
          <w:rFonts w:ascii="Arial" w:hAnsi="Arial" w:cs="Arial"/>
          <w:color w:val="000000"/>
          <w:sz w:val="22"/>
          <w:szCs w:val="22"/>
        </w:rPr>
        <w:t>CCCACTCACGGTCTCCCTCGCCCCCTCGGGAGA CGCTCCCCGCGTTCTATCCCGCCACGCCCTGG</w:t>
      </w:r>
      <w:r w:rsidRPr="00A50C1F">
        <w:rPr>
          <w:rFonts w:ascii="Arial" w:hAnsi="Arial" w:cs="Arial"/>
          <w:color w:val="000000"/>
          <w:sz w:val="22"/>
          <w:szCs w:val="22"/>
          <w:highlight w:val="magenta"/>
        </w:rPr>
        <w:t>CG</w:t>
      </w:r>
      <w:r w:rsidRPr="00A50C1F">
        <w:rPr>
          <w:rFonts w:ascii="Arial" w:hAnsi="Arial" w:cs="Arial"/>
          <w:color w:val="000000"/>
          <w:sz w:val="22"/>
          <w:szCs w:val="22"/>
        </w:rPr>
        <w:t>CGCCCCGCAAAAGATG TGACCCCGCCCCCCTGCGATCTCCGCTCCCCCGGACGCTGCCCCTGCCCC CACTTGGGGAGCTCCGGGCATCTCTAAAGCCCCCA</w:t>
      </w:r>
      <w:r w:rsidRPr="00A50C1F">
        <w:rPr>
          <w:rFonts w:ascii="Arial" w:hAnsi="Arial" w:cs="Arial"/>
          <w:color w:val="000000"/>
          <w:sz w:val="22"/>
          <w:szCs w:val="22"/>
          <w:highlight w:val="yellow"/>
        </w:rPr>
        <w:t>ACCAGAGTCCTCCAACCCAC</w:t>
      </w:r>
    </w:p>
    <w:p w14:paraId="41884DFC" w14:textId="77777777" w:rsidR="000F7048" w:rsidRPr="009834F3" w:rsidRDefault="000F7048" w:rsidP="000F7048">
      <w:pPr>
        <w:pStyle w:val="Heading1"/>
      </w:pPr>
      <w:bookmarkStart w:id="25" w:name="_Toc297739057"/>
      <w:bookmarkStart w:id="26" w:name="_Toc306792083"/>
      <w:bookmarkStart w:id="27" w:name="_Toc306797754"/>
      <w:r w:rsidRPr="009834F3">
        <w:t>Cell culture and transfection procedures</w:t>
      </w:r>
      <w:bookmarkEnd w:id="25"/>
      <w:bookmarkEnd w:id="26"/>
      <w:bookmarkEnd w:id="27"/>
    </w:p>
    <w:p w14:paraId="25249471" w14:textId="77777777" w:rsidR="000F7048" w:rsidRPr="004736A5" w:rsidRDefault="000F7048" w:rsidP="000F7048">
      <w:pPr>
        <w:widowControl w:val="0"/>
        <w:autoSpaceDE w:val="0"/>
        <w:autoSpaceDN w:val="0"/>
        <w:adjustRightInd w:val="0"/>
        <w:spacing w:line="480" w:lineRule="auto"/>
        <w:ind w:firstLine="720"/>
        <w:rPr>
          <w:rFonts w:ascii="Arial" w:hAnsi="Arial" w:cs="Arial"/>
          <w:sz w:val="22"/>
          <w:szCs w:val="22"/>
        </w:rPr>
      </w:pPr>
      <w:r w:rsidRPr="00A50C1F">
        <w:rPr>
          <w:rFonts w:ascii="Arial" w:hAnsi="Arial" w:cs="Arial"/>
          <w:sz w:val="22"/>
          <w:szCs w:val="22"/>
        </w:rPr>
        <w:t xml:space="preserve">K562 cells </w:t>
      </w:r>
      <w:r w:rsidRPr="004736A5">
        <w:rPr>
          <w:rFonts w:ascii="Arial" w:hAnsi="Arial" w:cs="Arial"/>
          <w:sz w:val="22"/>
          <w:szCs w:val="22"/>
        </w:rPr>
        <w:t xml:space="preserve">were maintained in RPMI 1640 medium (Sigma Aldrich) with 1% antibiotic-antimycotic and 10% fetal bovine serum. When cells were approximately 50% confluent, we washed and seeded them in pools of 25,000 cells for the transfection assays. Transient transfection was performed by adding 20 uL of OPTIMEM Reduced Serum Media (Gibco) containing the following reagents: (i) 100 ng of methylated, partially methylated, or unmethylated </w:t>
      </w:r>
      <w:r w:rsidRPr="004736A5">
        <w:rPr>
          <w:rFonts w:ascii="Arial" w:hAnsi="Arial" w:cs="Arial"/>
          <w:sz w:val="22"/>
          <w:szCs w:val="22"/>
        </w:rPr>
        <w:lastRenderedPageBreak/>
        <w:t xml:space="preserve">vector (4 replicates for each condition); (ii) 10 ng of Renilla control vector; (iii) 0.5 uL of Lipofectamine; and (iv) 0.1 uL of the PLUS reagent (from the Lipofectamine 2000 system, Life Technologies). </w:t>
      </w:r>
    </w:p>
    <w:p w14:paraId="075F6901" w14:textId="77777777" w:rsidR="000F7048" w:rsidRPr="004736A5" w:rsidRDefault="000F7048" w:rsidP="000F7048">
      <w:pPr>
        <w:widowControl w:val="0"/>
        <w:autoSpaceDE w:val="0"/>
        <w:autoSpaceDN w:val="0"/>
        <w:adjustRightInd w:val="0"/>
        <w:spacing w:line="480" w:lineRule="auto"/>
        <w:ind w:firstLine="720"/>
        <w:rPr>
          <w:rFonts w:ascii="Arial" w:hAnsi="Arial" w:cs="Arial"/>
          <w:sz w:val="22"/>
          <w:szCs w:val="22"/>
        </w:rPr>
      </w:pPr>
      <w:r w:rsidRPr="004736A5">
        <w:rPr>
          <w:rFonts w:ascii="Arial" w:hAnsi="Arial" w:cs="Arial"/>
          <w:sz w:val="22"/>
          <w:szCs w:val="22"/>
        </w:rPr>
        <w:t xml:space="preserve">Cells were incubated for 24 hours following transfection, and subsequently assayed for transgene luciferase expression with the Dual Luciferase Assay kit (Promega). Firefly luciferase activity was normalized against Renilla activity to control for variation in the transfection efficiency or total number of cells in each experimental replicate. </w:t>
      </w:r>
    </w:p>
    <w:p w14:paraId="724BF672" w14:textId="77777777" w:rsidR="000F7048" w:rsidRPr="004736A5" w:rsidRDefault="000F7048" w:rsidP="000F7048">
      <w:pPr>
        <w:spacing w:line="480" w:lineRule="auto"/>
        <w:rPr>
          <w:rFonts w:ascii="Arial" w:hAnsi="Arial" w:cs="Arial"/>
          <w:sz w:val="22"/>
          <w:szCs w:val="22"/>
        </w:rPr>
      </w:pPr>
      <w:bookmarkStart w:id="28" w:name="_Toc297739058"/>
    </w:p>
    <w:p w14:paraId="673A5E42" w14:textId="77777777" w:rsidR="000F7048" w:rsidRPr="004736A5" w:rsidRDefault="000F7048" w:rsidP="000F7048">
      <w:pPr>
        <w:spacing w:line="480" w:lineRule="auto"/>
        <w:rPr>
          <w:rFonts w:ascii="Arial" w:hAnsi="Arial" w:cs="Arial"/>
          <w:b/>
          <w:sz w:val="22"/>
          <w:szCs w:val="22"/>
        </w:rPr>
      </w:pPr>
      <w:r w:rsidRPr="004736A5">
        <w:rPr>
          <w:rFonts w:ascii="Arial" w:hAnsi="Arial" w:cs="Arial"/>
          <w:b/>
          <w:sz w:val="22"/>
          <w:szCs w:val="22"/>
        </w:rPr>
        <w:t>Using support vector machines to investigate the plasticity versus stability of DNA methylation levels</w:t>
      </w:r>
    </w:p>
    <w:p w14:paraId="453F0B14" w14:textId="21B10BF6" w:rsidR="000F7048" w:rsidRPr="004736A5" w:rsidRDefault="000F7048" w:rsidP="000F7048">
      <w:pPr>
        <w:spacing w:line="480" w:lineRule="auto"/>
        <w:ind w:firstLine="720"/>
        <w:rPr>
          <w:rFonts w:ascii="Arial" w:eastAsiaTheme="majorEastAsia" w:hAnsi="Arial" w:cs="Arial"/>
          <w:b/>
          <w:bCs/>
          <w:sz w:val="22"/>
          <w:szCs w:val="22"/>
        </w:rPr>
      </w:pPr>
      <w:r w:rsidRPr="004736A5">
        <w:rPr>
          <w:rFonts w:ascii="Arial" w:hAnsi="Arial" w:cs="Arial"/>
          <w:bCs/>
          <w:color w:val="000000"/>
          <w:sz w:val="22"/>
          <w:szCs w:val="22"/>
        </w:rPr>
        <w:t xml:space="preserve">To differentiate between the hypotheses presented in Figure </w:t>
      </w:r>
      <w:r w:rsidR="004B1CDA">
        <w:rPr>
          <w:rFonts w:ascii="Arial" w:hAnsi="Arial" w:cs="Arial"/>
          <w:bCs/>
          <w:color w:val="000000"/>
          <w:sz w:val="22"/>
          <w:szCs w:val="22"/>
        </w:rPr>
        <w:t>5</w:t>
      </w:r>
      <w:r w:rsidRPr="004736A5">
        <w:rPr>
          <w:rFonts w:ascii="Arial" w:hAnsi="Arial" w:cs="Arial"/>
          <w:bCs/>
          <w:color w:val="000000"/>
          <w:sz w:val="22"/>
          <w:szCs w:val="22"/>
        </w:rPr>
        <w:t xml:space="preserve">, we used a machine learning approach. First, we built an SVM classifier that could distinguish between individuals that spent most or all of their lives in either a wild-feeding group or in Lodge group (n = 61 individuals) based on DNA methylation data alone. To do so, we used the </w:t>
      </w:r>
      <w:r w:rsidRPr="004736A5">
        <w:rPr>
          <w:rFonts w:ascii="Arial" w:hAnsi="Arial" w:cs="Arial"/>
          <w:bCs/>
          <w:i/>
          <w:color w:val="000000"/>
          <w:sz w:val="22"/>
          <w:szCs w:val="22"/>
        </w:rPr>
        <w:t>ksvm</w:t>
      </w:r>
      <w:r w:rsidRPr="004736A5">
        <w:rPr>
          <w:rFonts w:ascii="Arial" w:hAnsi="Arial" w:cs="Arial"/>
          <w:bCs/>
          <w:color w:val="000000"/>
          <w:sz w:val="22"/>
          <w:szCs w:val="22"/>
        </w:rPr>
        <w:t xml:space="preserve"> function implemented in R package </w:t>
      </w:r>
      <w:r w:rsidRPr="004736A5">
        <w:rPr>
          <w:rFonts w:ascii="Arial" w:hAnsi="Arial" w:cs="Arial"/>
          <w:bCs/>
          <w:i/>
          <w:color w:val="000000"/>
          <w:sz w:val="22"/>
          <w:szCs w:val="22"/>
        </w:rPr>
        <w:t>kernlab</w:t>
      </w:r>
      <w:r w:rsidRPr="004736A5">
        <w:rPr>
          <w:rFonts w:ascii="Arial" w:hAnsi="Arial" w:cs="Arial"/>
          <w:bCs/>
          <w:color w:val="000000"/>
          <w:sz w:val="22"/>
          <w:szCs w:val="22"/>
        </w:rPr>
        <w:t xml:space="preserve">, using a linear kernel and setting the penalty constant, </w:t>
      </w:r>
      <w:r w:rsidRPr="004736A5">
        <w:rPr>
          <w:rFonts w:ascii="Arial" w:hAnsi="Arial" w:cs="Arial"/>
          <w:bCs/>
          <w:i/>
          <w:color w:val="000000"/>
          <w:sz w:val="22"/>
          <w:szCs w:val="22"/>
        </w:rPr>
        <w:t>C</w:t>
      </w:r>
      <w:r w:rsidRPr="004736A5">
        <w:rPr>
          <w:rFonts w:ascii="Arial" w:hAnsi="Arial" w:cs="Arial"/>
          <w:bCs/>
          <w:color w:val="000000"/>
          <w:sz w:val="22"/>
          <w:szCs w:val="22"/>
        </w:rPr>
        <w:t xml:space="preserve">, to 100 </w:t>
      </w:r>
      <w:r w:rsidRPr="004736A5">
        <w:rPr>
          <w:rFonts w:ascii="Arial" w:hAnsi="Arial" w:cs="Arial"/>
          <w:bCs/>
          <w:color w:val="000000"/>
          <w:sz w:val="22"/>
          <w:szCs w:val="22"/>
        </w:rPr>
        <w:fldChar w:fldCharType="begin" w:fldLock="1"/>
      </w:r>
      <w:r w:rsidR="00F43643">
        <w:rPr>
          <w:rFonts w:ascii="Arial" w:hAnsi="Arial" w:cs="Arial"/>
          <w:bCs/>
          <w:color w:val="000000"/>
          <w:sz w:val="22"/>
          <w:szCs w:val="22"/>
        </w:rPr>
        <w:instrText>ADDIN CSL_CITATION { "citationItems" : [ { "id" : "ITEM-1", "itemData" : { "author" : [ { "dropping-particle" : "", "family" : "Karatzoglou", "given" : "Alexandros", "non-dropping-particle" : "", "parse-names" : false, "suffix" : "" }, { "dropping-particle" : "", "family" : "Smola", "given" : "Alex", "non-dropping-particle" : "", "parse-names" : false, "suffix" : "" }, { "dropping-particle" : "", "family" : "Hornik", "given" : "Kurt", "non-dropping-particle" : "", "parse-names" : false, "suffix" : "" }, { "dropping-particle" : "", "family" : "Zeileis", "given" : "Achim", "non-dropping-particle" : "", "parse-names" : false, "suffix" : "" } ], "container-title" : "Journal of Statistical Software", "id" : "ITEM-1", "issue" : "9", "issued" : { "date-parts" : [ [ "2004" ] ] }, "page" : "1-20", "title" : "kernlab -- An S4 Package for Kernel Methods in R", "type" : "article-journal", "volume" : "11" }, "uris" : [ "http://www.mendeley.com/documents/?uuid=720a7950-17a4-41ea-b543-80674491acf6" ] } ], "mendeley" : { "formattedCitation" : "[22]", "manualFormatting" : "(Karatzoglou et al. 2004; note that our results were robust across several orders of magnitude of C)", "plainTextFormattedCitation" : "[22]", "previouslyFormattedCitation" : "[22]" }, "properties" : { "noteIndex" : 0 }, "schema" : "https://github.com/citation-style-language/schema/raw/master/csl-citation.json" }</w:instrText>
      </w:r>
      <w:r w:rsidRPr="004736A5">
        <w:rPr>
          <w:rFonts w:ascii="Arial" w:hAnsi="Arial" w:cs="Arial"/>
          <w:bCs/>
          <w:color w:val="000000"/>
          <w:sz w:val="22"/>
          <w:szCs w:val="22"/>
        </w:rPr>
        <w:fldChar w:fldCharType="separate"/>
      </w:r>
      <w:r w:rsidRPr="004736A5">
        <w:rPr>
          <w:rFonts w:ascii="Arial" w:hAnsi="Arial" w:cs="Arial"/>
          <w:bCs/>
          <w:noProof/>
          <w:color w:val="000000"/>
          <w:sz w:val="22"/>
          <w:szCs w:val="22"/>
        </w:rPr>
        <w:t xml:space="preserve">(Karatzoglou </w:t>
      </w:r>
      <w:r w:rsidRPr="004736A5">
        <w:rPr>
          <w:rFonts w:ascii="Arial" w:hAnsi="Arial" w:cs="Arial"/>
          <w:bCs/>
          <w:i/>
          <w:noProof/>
          <w:color w:val="000000"/>
          <w:sz w:val="22"/>
          <w:szCs w:val="22"/>
        </w:rPr>
        <w:t>et al.</w:t>
      </w:r>
      <w:r w:rsidRPr="004736A5">
        <w:rPr>
          <w:rFonts w:ascii="Arial" w:hAnsi="Arial" w:cs="Arial"/>
          <w:bCs/>
          <w:noProof/>
          <w:color w:val="000000"/>
          <w:sz w:val="22"/>
          <w:szCs w:val="22"/>
        </w:rPr>
        <w:t xml:space="preserve"> 2004; note that our results were robust across several orders of magnitude of </w:t>
      </w:r>
      <w:r w:rsidRPr="004736A5">
        <w:rPr>
          <w:rFonts w:ascii="Arial" w:hAnsi="Arial" w:cs="Arial"/>
          <w:bCs/>
          <w:i/>
          <w:noProof/>
          <w:color w:val="000000"/>
          <w:sz w:val="22"/>
          <w:szCs w:val="22"/>
        </w:rPr>
        <w:t>C</w:t>
      </w:r>
      <w:r w:rsidRPr="004736A5">
        <w:rPr>
          <w:rFonts w:ascii="Arial" w:hAnsi="Arial" w:cs="Arial"/>
          <w:bCs/>
          <w:noProof/>
          <w:color w:val="000000"/>
          <w:sz w:val="22"/>
          <w:szCs w:val="22"/>
        </w:rPr>
        <w:t>)</w:t>
      </w:r>
      <w:r w:rsidRPr="004736A5">
        <w:rPr>
          <w:rFonts w:ascii="Arial" w:hAnsi="Arial" w:cs="Arial"/>
          <w:bCs/>
          <w:color w:val="000000"/>
          <w:sz w:val="22"/>
          <w:szCs w:val="22"/>
        </w:rPr>
        <w:fldChar w:fldCharType="end"/>
      </w:r>
      <w:r w:rsidRPr="004736A5">
        <w:rPr>
          <w:rFonts w:ascii="Arial" w:hAnsi="Arial" w:cs="Arial"/>
          <w:bCs/>
          <w:color w:val="000000"/>
          <w:sz w:val="22"/>
          <w:szCs w:val="22"/>
        </w:rPr>
        <w:t xml:space="preserve">. As predictive features for this model, we used the 334,840 CpG sites that were not associated with age, sex, bisulfite conversion rate, or sample age at a nominal p-value of 0.05. Because SVMs cannot work on binomially distributed count data, we used data that had been transformed to methylation proportions, </w:t>
      </w:r>
      <w:r>
        <w:rPr>
          <w:rFonts w:ascii="Arial" w:hAnsi="Arial" w:cs="Arial"/>
          <w:bCs/>
          <w:color w:val="000000"/>
          <w:sz w:val="22"/>
          <w:szCs w:val="22"/>
        </w:rPr>
        <w:t>transformed</w:t>
      </w:r>
      <w:r w:rsidRPr="004736A5">
        <w:rPr>
          <w:rFonts w:ascii="Arial" w:hAnsi="Arial" w:cs="Arial"/>
          <w:bCs/>
          <w:color w:val="000000"/>
          <w:sz w:val="22"/>
          <w:szCs w:val="22"/>
        </w:rPr>
        <w:t xml:space="preserve"> to a standard normal, </w:t>
      </w:r>
      <w:r w:rsidRPr="004736A5">
        <w:rPr>
          <w:rFonts w:ascii="Arial" w:hAnsi="Arial" w:cs="Arial"/>
          <w:sz w:val="22"/>
          <w:szCs w:val="22"/>
        </w:rPr>
        <w:t xml:space="preserve">and imputed to remove missing values (see </w:t>
      </w:r>
      <w:r w:rsidRPr="004736A5">
        <w:rPr>
          <w:rFonts w:ascii="Arial" w:hAnsi="Arial" w:cs="Arial"/>
          <w:bCs/>
          <w:color w:val="000000"/>
          <w:sz w:val="22"/>
          <w:szCs w:val="22"/>
        </w:rPr>
        <w:t xml:space="preserve">Supporting Information: </w:t>
      </w:r>
      <w:r w:rsidRPr="004736A5">
        <w:rPr>
          <w:rFonts w:ascii="Arial" w:hAnsi="Arial" w:cs="Arial"/>
          <w:sz w:val="22"/>
          <w:szCs w:val="22"/>
        </w:rPr>
        <w:t>Transforming count data to normalized methylation proportions).</w:t>
      </w:r>
    </w:p>
    <w:p w14:paraId="1E98D6D5" w14:textId="77777777" w:rsidR="000F7048" w:rsidRPr="004736A5" w:rsidRDefault="000F7048" w:rsidP="000F7048">
      <w:pPr>
        <w:spacing w:line="480" w:lineRule="auto"/>
        <w:ind w:firstLine="720"/>
        <w:rPr>
          <w:rFonts w:ascii="Arial" w:hAnsi="Arial" w:cs="Arial"/>
          <w:bCs/>
          <w:color w:val="000000"/>
          <w:sz w:val="22"/>
          <w:szCs w:val="22"/>
        </w:rPr>
      </w:pPr>
      <w:r w:rsidRPr="004736A5">
        <w:rPr>
          <w:rFonts w:ascii="Arial" w:hAnsi="Arial" w:cs="Arial"/>
          <w:bCs/>
          <w:color w:val="000000"/>
          <w:sz w:val="22"/>
          <w:szCs w:val="22"/>
        </w:rPr>
        <w:t xml:space="preserve">To assess the performance of the SVM model, we used leave-one-out cross-validation. Specifically, we iteratively (i) removed one individual from the data set, (ii) trained the SVM on DNA methylation data from equally sized samples of the remaining Lodge group individuals and wild-feeding individuals (to avoid biased estimates as a result of differences in class size); and </w:t>
      </w:r>
      <w:r w:rsidRPr="004736A5">
        <w:rPr>
          <w:rFonts w:ascii="Arial" w:hAnsi="Arial" w:cs="Arial"/>
          <w:bCs/>
          <w:color w:val="000000"/>
          <w:sz w:val="22"/>
          <w:szCs w:val="22"/>
        </w:rPr>
        <w:lastRenderedPageBreak/>
        <w:t xml:space="preserve">(iii) used the resulting fitted model to predict the resource base of the originally removed test case. We repeated this procedure 610 times, so that DNA methylation data from every individual (n = 61) was used as the test case 10 times. </w:t>
      </w:r>
      <w:r>
        <w:rPr>
          <w:rFonts w:ascii="Arial" w:hAnsi="Arial" w:cs="Arial"/>
          <w:bCs/>
          <w:color w:val="000000"/>
          <w:sz w:val="22"/>
          <w:szCs w:val="22"/>
        </w:rPr>
        <w:t xml:space="preserve">We did not observe any consistent bias in class assignments during this procedure (49.02% of all misclassification events involved data from Lodge individuals, while 50.98% involved wild-feeding individuals). </w:t>
      </w:r>
    </w:p>
    <w:p w14:paraId="687677AD" w14:textId="77777777" w:rsidR="000F7048" w:rsidRPr="004736A5" w:rsidRDefault="000F7048" w:rsidP="000F7048">
      <w:pPr>
        <w:spacing w:line="480" w:lineRule="auto"/>
        <w:rPr>
          <w:rFonts w:ascii="Arial" w:eastAsiaTheme="majorEastAsia" w:hAnsi="Arial" w:cs="Arial"/>
          <w:b/>
          <w:bCs/>
          <w:sz w:val="22"/>
          <w:szCs w:val="22"/>
        </w:rPr>
      </w:pPr>
      <w:r w:rsidRPr="004736A5">
        <w:rPr>
          <w:rFonts w:ascii="Arial" w:hAnsi="Arial" w:cs="Arial"/>
          <w:bCs/>
          <w:color w:val="000000"/>
          <w:sz w:val="22"/>
          <w:szCs w:val="22"/>
        </w:rPr>
        <w:tab/>
        <w:t xml:space="preserve">Finally, to understand whether individuals that switched between resource bases more closely resembled their pre-switch or post-switch conspecifics, we repeated the same procedures described above, but used DNA methylation data from the 8 switching individuals as the test set. In this case, we used a fitted model trained on data (i.e., the n = 334,840 CpG sites not associated with any covariates) from the full set of Lodge individuals (minus switching individuals sampled in Lodge group), as well as an equally sized random sample of wild-feeding individuals (minus switching individuals sampled in a wild-feeding group). We used this fitted model to predict the resource base of the 8 individuals that dispersed between groups, using their DNA methylation data alone. We repeated this procedure 60 times to ensure that subsampling from the wild-feeding individuals did not </w:t>
      </w:r>
      <w:bookmarkStart w:id="29" w:name="_GoBack"/>
      <w:r w:rsidRPr="004736A5">
        <w:rPr>
          <w:rFonts w:ascii="Arial" w:hAnsi="Arial" w:cs="Arial"/>
          <w:bCs/>
          <w:color w:val="000000"/>
          <w:sz w:val="22"/>
          <w:szCs w:val="22"/>
        </w:rPr>
        <w:t>bias</w:t>
      </w:r>
      <w:bookmarkEnd w:id="29"/>
      <w:r w:rsidRPr="004736A5">
        <w:rPr>
          <w:rFonts w:ascii="Arial" w:hAnsi="Arial" w:cs="Arial"/>
          <w:bCs/>
          <w:color w:val="000000"/>
          <w:sz w:val="22"/>
          <w:szCs w:val="22"/>
        </w:rPr>
        <w:t xml:space="preserve"> our model predictions.</w:t>
      </w:r>
      <w:r w:rsidRPr="004736A5">
        <w:rPr>
          <w:rFonts w:ascii="Arial" w:hAnsi="Arial" w:cs="Arial"/>
          <w:bCs/>
          <w:color w:val="000000"/>
        </w:rPr>
        <w:t xml:space="preserve"> </w:t>
      </w:r>
      <w:r w:rsidRPr="004736A5">
        <w:rPr>
          <w:rFonts w:ascii="Arial" w:eastAsiaTheme="majorEastAsia" w:hAnsi="Arial" w:cs="Arial"/>
          <w:b/>
          <w:bCs/>
          <w:sz w:val="22"/>
          <w:szCs w:val="22"/>
        </w:rPr>
        <w:br w:type="page"/>
      </w:r>
    </w:p>
    <w:p w14:paraId="23DA20EF" w14:textId="77777777" w:rsidR="000F7048" w:rsidRPr="004736A5" w:rsidRDefault="000F7048" w:rsidP="000F7048">
      <w:pPr>
        <w:pStyle w:val="Heading1"/>
      </w:pPr>
      <w:bookmarkStart w:id="30" w:name="_Toc306792084"/>
      <w:bookmarkStart w:id="31" w:name="_Toc306797755"/>
      <w:r w:rsidRPr="004736A5">
        <w:lastRenderedPageBreak/>
        <w:t>References</w:t>
      </w:r>
      <w:bookmarkEnd w:id="28"/>
      <w:bookmarkEnd w:id="30"/>
      <w:bookmarkEnd w:id="31"/>
    </w:p>
    <w:p w14:paraId="022E38AF" w14:textId="77777777" w:rsidR="00F43643" w:rsidRPr="00F43643" w:rsidRDefault="000F7048">
      <w:pPr>
        <w:pStyle w:val="NormalWeb"/>
        <w:ind w:left="640" w:hanging="640"/>
        <w:divId w:val="728305358"/>
        <w:rPr>
          <w:rFonts w:ascii="Arial" w:hAnsi="Arial" w:cs="Arial"/>
          <w:noProof/>
          <w:sz w:val="22"/>
        </w:rPr>
      </w:pPr>
      <w:r w:rsidRPr="004736A5">
        <w:rPr>
          <w:rFonts w:ascii="Arial" w:hAnsi="Arial" w:cs="Arial"/>
          <w:sz w:val="22"/>
          <w:szCs w:val="22"/>
        </w:rPr>
        <w:fldChar w:fldCharType="begin" w:fldLock="1"/>
      </w:r>
      <w:r w:rsidRPr="004736A5">
        <w:rPr>
          <w:rFonts w:ascii="Arial" w:hAnsi="Arial" w:cs="Arial"/>
          <w:sz w:val="22"/>
          <w:szCs w:val="22"/>
        </w:rPr>
        <w:instrText xml:space="preserve">ADDIN Mendeley Bibliography CSL_BIBLIOGRAPHY </w:instrText>
      </w:r>
      <w:r w:rsidRPr="004736A5">
        <w:rPr>
          <w:rFonts w:ascii="Arial" w:hAnsi="Arial" w:cs="Arial"/>
          <w:sz w:val="22"/>
          <w:szCs w:val="22"/>
        </w:rPr>
        <w:fldChar w:fldCharType="separate"/>
      </w:r>
      <w:r w:rsidR="00F43643" w:rsidRPr="00F43643">
        <w:rPr>
          <w:rFonts w:ascii="Arial" w:hAnsi="Arial" w:cs="Arial"/>
          <w:noProof/>
          <w:sz w:val="22"/>
        </w:rPr>
        <w:t xml:space="preserve">1. </w:t>
      </w:r>
      <w:r w:rsidR="00F43643" w:rsidRPr="00F43643">
        <w:rPr>
          <w:rFonts w:ascii="Arial" w:hAnsi="Arial" w:cs="Arial"/>
          <w:noProof/>
          <w:sz w:val="22"/>
        </w:rPr>
        <w:tab/>
        <w:t>Zou J, Lippert C, Heckerman D, Aryee M, Listgarten J. Epigenome-wide association studies without the need for cell-type composition. Nat Methods. 2014;11: 309–11. doi:10.1038/nmeth.2815</w:t>
      </w:r>
    </w:p>
    <w:p w14:paraId="42414C78"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 </w:t>
      </w:r>
      <w:r w:rsidRPr="00F43643">
        <w:rPr>
          <w:rFonts w:ascii="Arial" w:hAnsi="Arial" w:cs="Arial"/>
          <w:noProof/>
          <w:sz w:val="22"/>
        </w:rPr>
        <w:tab/>
        <w:t>Lam LL, Emberly E, Fraser HB, Neumann SM, Chen E, Miller GE, et al. Factors underlying variable DNA methylation in a human community cohort. Proc Natl Acad Sci. 2012;109: 17253–60. doi:10.1073/pnas.1121249109</w:t>
      </w:r>
    </w:p>
    <w:p w14:paraId="5E1F6898"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 </w:t>
      </w:r>
      <w:r w:rsidRPr="00F43643">
        <w:rPr>
          <w:rFonts w:ascii="Arial" w:hAnsi="Arial" w:cs="Arial"/>
          <w:noProof/>
          <w:sz w:val="22"/>
        </w:rPr>
        <w:tab/>
        <w:t>Lea A, Tung J, Zhou X. A flexible, efficient binomial mixed model for identifying differential DNA methylation in bisulfite sequencing data. bioRxiv. 2015; doi:http://dx.doi.org/10.1101/019562</w:t>
      </w:r>
    </w:p>
    <w:p w14:paraId="75FC6742"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4. </w:t>
      </w:r>
      <w:r w:rsidRPr="00F43643">
        <w:rPr>
          <w:rFonts w:ascii="Arial" w:hAnsi="Arial" w:cs="Arial"/>
          <w:noProof/>
          <w:sz w:val="22"/>
        </w:rPr>
        <w:tab/>
        <w:t>Altmann J, Altmann S, Hausfater G. Physical maturation and age estimates of yellow baboons, Papio cynocephalus, in Amboseli National Park, Kenya. Am J Primatol. 1981;1: 389–399. doi:10.1002/ajp.1350010404</w:t>
      </w:r>
    </w:p>
    <w:p w14:paraId="6F123939"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5. </w:t>
      </w:r>
      <w:r w:rsidRPr="00F43643">
        <w:rPr>
          <w:rFonts w:ascii="Arial" w:hAnsi="Arial" w:cs="Arial"/>
          <w:noProof/>
          <w:sz w:val="22"/>
        </w:rPr>
        <w:tab/>
        <w:t>Alberts SC, Buchan JC, Altmann J. Sexual selection in wild baboons: from mating opportunities to paternity success. Anim Behav. 2006;72: 1177–1196. doi:10.1016/j.anbehav.2006.05.001</w:t>
      </w:r>
    </w:p>
    <w:p w14:paraId="292A2F6D"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6. </w:t>
      </w:r>
      <w:r w:rsidRPr="00F43643">
        <w:rPr>
          <w:rFonts w:ascii="Arial" w:hAnsi="Arial" w:cs="Arial"/>
          <w:noProof/>
          <w:sz w:val="22"/>
        </w:rPr>
        <w:tab/>
        <w:t>Buchan JC, Alberts SC, Silk JB, Altmann J. True paternal care in a multi-male primate society. Nature. 2003;425: 179–81. doi:10.1038/nature01866</w:t>
      </w:r>
    </w:p>
    <w:p w14:paraId="526A3BD8"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7. </w:t>
      </w:r>
      <w:r w:rsidRPr="00F43643">
        <w:rPr>
          <w:rFonts w:ascii="Arial" w:hAnsi="Arial" w:cs="Arial"/>
          <w:noProof/>
          <w:sz w:val="22"/>
        </w:rPr>
        <w:tab/>
        <w:t>Wang J. COANCESTRY: a program for simulating, estimating and analysing relatedness and inbreeding coefficients. Mol Ecol Resour. 2011;11: 141–5. doi:10.1111/j.1755-0998.2010.02885.x</w:t>
      </w:r>
    </w:p>
    <w:p w14:paraId="50869FBD"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8. </w:t>
      </w:r>
      <w:r w:rsidRPr="00F43643">
        <w:rPr>
          <w:rFonts w:ascii="Arial" w:hAnsi="Arial" w:cs="Arial"/>
          <w:noProof/>
          <w:sz w:val="22"/>
        </w:rPr>
        <w:tab/>
        <w:t>Mukherjee S, Tamayo P, Rogers S, Rifkin R, Engle A, Campbell C, et al. Estimating dataset size requirements for classifying DNA microarray data. J Comput Biol. 2003;10: 119–142. doi:10.1089/106652703321825928</w:t>
      </w:r>
    </w:p>
    <w:p w14:paraId="57AB006F"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9. </w:t>
      </w:r>
      <w:r w:rsidRPr="00F43643">
        <w:rPr>
          <w:rFonts w:ascii="Arial" w:hAnsi="Arial" w:cs="Arial"/>
          <w:noProof/>
          <w:sz w:val="22"/>
        </w:rPr>
        <w:tab/>
        <w:t>Reinius LE, Acevedo N, Joerink M, Pershagen G, Dahlén S-E, Greco D, et al. Differential DNA methylation in purified human blood cells: implications for cell lineage and studies on disease susceptibility. PLoS One. 2012;7: e41361. doi:10.1371/journal.pone.0041361</w:t>
      </w:r>
    </w:p>
    <w:p w14:paraId="563C75F1"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10. </w:t>
      </w:r>
      <w:r w:rsidRPr="00F43643">
        <w:rPr>
          <w:rFonts w:ascii="Arial" w:hAnsi="Arial" w:cs="Arial"/>
          <w:noProof/>
          <w:sz w:val="22"/>
        </w:rPr>
        <w:tab/>
        <w:t xml:space="preserve">Jaffe AE. FlowSorted.Blood.450k: Illumina HumanMethylation data on sorted blood cell populations. R package version 1.5.1. 2015. </w:t>
      </w:r>
    </w:p>
    <w:p w14:paraId="688593A9"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11. </w:t>
      </w:r>
      <w:r w:rsidRPr="00F43643">
        <w:rPr>
          <w:rFonts w:ascii="Arial" w:hAnsi="Arial" w:cs="Arial"/>
          <w:noProof/>
          <w:sz w:val="22"/>
        </w:rPr>
        <w:tab/>
        <w:t>Jaffe AE, Irizarry R a. Accounting for cellular heterogeneity is critical in epigenome-wide association studies. Genome Biol. 2014;15: R31. doi:10.1186/gb-2014-15-2-r31</w:t>
      </w:r>
    </w:p>
    <w:p w14:paraId="677EB6EC"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12. </w:t>
      </w:r>
      <w:r w:rsidRPr="00F43643">
        <w:rPr>
          <w:rFonts w:ascii="Arial" w:hAnsi="Arial" w:cs="Arial"/>
          <w:noProof/>
          <w:sz w:val="22"/>
        </w:rPr>
        <w:tab/>
        <w:t>Cunningham F, Amode MR, Barrell D, Beal K, Billis K, Brent S, et al. Ensembl 2015. Nucleic Acids Res. 2014;43: D662–D669. doi:10.1093/nar/gku1010</w:t>
      </w:r>
    </w:p>
    <w:p w14:paraId="033C7798"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13. </w:t>
      </w:r>
      <w:r w:rsidRPr="00F43643">
        <w:rPr>
          <w:rFonts w:ascii="Arial" w:hAnsi="Arial" w:cs="Arial"/>
          <w:noProof/>
          <w:sz w:val="22"/>
        </w:rPr>
        <w:tab/>
        <w:t xml:space="preserve">Shulha HP, Cheung I, Guo Y, Akbarian S, Weng Z. Coordinated Cell Type–Specific Epigenetic Remodeling in Prefrontal Cortex Begins before Birth and Continues into Early </w:t>
      </w:r>
      <w:r w:rsidRPr="00F43643">
        <w:rPr>
          <w:rFonts w:ascii="Arial" w:hAnsi="Arial" w:cs="Arial"/>
          <w:noProof/>
          <w:sz w:val="22"/>
        </w:rPr>
        <w:lastRenderedPageBreak/>
        <w:t>Adulthood. Ren B, editor. PLoS Genet. 2013;9: e1003433. doi:10.1371/journal.pgen.1003433</w:t>
      </w:r>
    </w:p>
    <w:p w14:paraId="41C4BF5C"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14. </w:t>
      </w:r>
      <w:r w:rsidRPr="00F43643">
        <w:rPr>
          <w:rFonts w:ascii="Arial" w:hAnsi="Arial" w:cs="Arial"/>
          <w:noProof/>
          <w:sz w:val="22"/>
        </w:rPr>
        <w:tab/>
        <w:t>Deng J, Shoemaker R, Xie B. Targeted bisulfite sequencing reveals changes in DNA methylation associated with nuclear reprogramming. Nat Biotechnol. 2009;27: 353–360. doi:10.1038/nbt.1530.Targeted</w:t>
      </w:r>
    </w:p>
    <w:p w14:paraId="33EE0EA8"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15. </w:t>
      </w:r>
      <w:r w:rsidRPr="00F43643">
        <w:rPr>
          <w:rFonts w:ascii="Arial" w:hAnsi="Arial" w:cs="Arial"/>
          <w:noProof/>
          <w:sz w:val="22"/>
        </w:rPr>
        <w:tab/>
        <w:t>Karolchik D, Barber GP, Casper J, Clawson H, Cline MS, Diekhans M, et al. The UCSC Genome Browser database: 2014 update. Nucleic Acids Res. 2014;42: 764–770. doi:10.1093/nar/gkt1168</w:t>
      </w:r>
    </w:p>
    <w:p w14:paraId="4EB51288"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16. </w:t>
      </w:r>
      <w:r w:rsidRPr="00F43643">
        <w:rPr>
          <w:rFonts w:ascii="Arial" w:hAnsi="Arial" w:cs="Arial"/>
          <w:noProof/>
          <w:sz w:val="22"/>
        </w:rPr>
        <w:tab/>
        <w:t>Hernando-Herraez I, Prado-Martinez J, Garg P, Fernandez-Callejo M, Heyn H, Hvilsom C, et al. Dynamics of DNA methylation in recent human and great ape evolution. PLoS Genet. 2013;9: e1003763. doi:10.1371/journal.pgen.1003763</w:t>
      </w:r>
    </w:p>
    <w:p w14:paraId="1394BA89"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17. </w:t>
      </w:r>
      <w:r w:rsidRPr="00F43643">
        <w:rPr>
          <w:rFonts w:ascii="Arial" w:hAnsi="Arial" w:cs="Arial"/>
          <w:noProof/>
          <w:sz w:val="22"/>
        </w:rPr>
        <w:tab/>
        <w:t>Gu H, Smith ZD, Bock C, Boyle P, Gnirke A, Meissner A. Preparation of reduced representation bisulfite sequencing libraries for genome-scale DNA methylation profiling. Nat Protoc. 2011;6: 468–81. doi:10.1038/nprot.2010.190</w:t>
      </w:r>
    </w:p>
    <w:p w14:paraId="4BC4C60D"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18. </w:t>
      </w:r>
      <w:r w:rsidRPr="00F43643">
        <w:rPr>
          <w:rFonts w:ascii="Arial" w:hAnsi="Arial" w:cs="Arial"/>
          <w:noProof/>
          <w:sz w:val="22"/>
        </w:rPr>
        <w:tab/>
        <w:t>Rönn T, Volkov P, Davegårdh C, Dayeh T, Hall E, Olsson AH, et al. A six months exercise intervention influences the genome-wide DNA methylation pattern in human adipose tissue. PLoS Genet. 2013;9: e1003572. doi:10.1371/journal.pgen.1003572</w:t>
      </w:r>
    </w:p>
    <w:p w14:paraId="56EEC7F9"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19. </w:t>
      </w:r>
      <w:r w:rsidRPr="00F43643">
        <w:rPr>
          <w:rFonts w:ascii="Arial" w:hAnsi="Arial" w:cs="Arial"/>
          <w:noProof/>
          <w:sz w:val="22"/>
        </w:rPr>
        <w:tab/>
        <w:t>Dunham I, Kundaje A, Aldred SF, Collins PJ, Davis C, Doyle F, et al. An integrated encyclopedia of DNA elements in the human genome. Nature. 2012;489: 57–74. doi:10.1038/nature11247</w:t>
      </w:r>
    </w:p>
    <w:p w14:paraId="217A80D6"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20. </w:t>
      </w:r>
      <w:r w:rsidRPr="00F43643">
        <w:rPr>
          <w:rFonts w:ascii="Arial" w:hAnsi="Arial" w:cs="Arial"/>
          <w:noProof/>
          <w:sz w:val="22"/>
        </w:rPr>
        <w:tab/>
        <w:t>Hinrichs A, Karolchik D, Baertsch R, Barber G, Bejerano G, Clawson H. The UCSC Genome Browser Database: update 2006. Nucleic Acids Res. 2006;34: D590–D598. doi:10.1093/nar/gkj144</w:t>
      </w:r>
    </w:p>
    <w:p w14:paraId="73AD625D"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21. </w:t>
      </w:r>
      <w:r w:rsidRPr="00F43643">
        <w:rPr>
          <w:rFonts w:ascii="Arial" w:hAnsi="Arial" w:cs="Arial"/>
          <w:noProof/>
          <w:sz w:val="22"/>
        </w:rPr>
        <w:tab/>
        <w:t>Goeman JJ, Van de Geer S, De Kort F, van Houwellingen HC. A global test for groups fo genes: Testing association with a clinical outcome. Bioinformatics. 2004;20: 93–99. doi:10.1093/bioinformatics/btg382</w:t>
      </w:r>
    </w:p>
    <w:p w14:paraId="5DA374B5"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22. </w:t>
      </w:r>
      <w:r w:rsidRPr="00F43643">
        <w:rPr>
          <w:rFonts w:ascii="Arial" w:hAnsi="Arial" w:cs="Arial"/>
          <w:noProof/>
          <w:sz w:val="22"/>
        </w:rPr>
        <w:tab/>
        <w:t xml:space="preserve">Karatzoglou A, Smola A, Hornik K, Zeileis A. kernlab -- An S4 Package for Kernel Methods in R. J Stat Softw. 2004;11: 1–20. </w:t>
      </w:r>
    </w:p>
    <w:p w14:paraId="62C12562"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23. </w:t>
      </w:r>
      <w:r w:rsidRPr="00F43643">
        <w:rPr>
          <w:rFonts w:ascii="Arial" w:hAnsi="Arial" w:cs="Arial"/>
          <w:noProof/>
          <w:sz w:val="22"/>
        </w:rPr>
        <w:tab/>
        <w:t xml:space="preserve">Hastie T, Tibshirani R, Narasimhan B, Chu G. Impute: imputation for microarray data. R package version 1.42.0. 2015. </w:t>
      </w:r>
    </w:p>
    <w:p w14:paraId="26C41471"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24. </w:t>
      </w:r>
      <w:r w:rsidRPr="00F43643">
        <w:rPr>
          <w:rFonts w:ascii="Arial" w:hAnsi="Arial" w:cs="Arial"/>
          <w:noProof/>
          <w:sz w:val="22"/>
        </w:rPr>
        <w:tab/>
        <w:t>Jaffe AE, Murakami P, Lee H, Leek JT, Fallin MD, Feinberg AP, et al. Bump hunting to identify differentially methylated regions in epigenetic epidemiology studies. Int J Epidemiol. 2012;41: 200–209. doi:10.1093/ije/dyr238</w:t>
      </w:r>
    </w:p>
    <w:p w14:paraId="4B5105D9"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25. </w:t>
      </w:r>
      <w:r w:rsidRPr="00F43643">
        <w:rPr>
          <w:rFonts w:ascii="Arial" w:hAnsi="Arial" w:cs="Arial"/>
          <w:noProof/>
          <w:sz w:val="22"/>
        </w:rPr>
        <w:tab/>
        <w:t xml:space="preserve">Lister R, Pelizzola M, Dowen R, Hawkins R. Human DNA methylomes at base resolution show widespread epigenomic differences. Nature. 2009; </w:t>
      </w:r>
    </w:p>
    <w:p w14:paraId="7E5A24A7"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lastRenderedPageBreak/>
        <w:t xml:space="preserve">26. </w:t>
      </w:r>
      <w:r w:rsidRPr="00F43643">
        <w:rPr>
          <w:rFonts w:ascii="Arial" w:hAnsi="Arial" w:cs="Arial"/>
          <w:noProof/>
          <w:sz w:val="22"/>
        </w:rPr>
        <w:tab/>
        <w:t>Hansen KD, Timp W, Bravo HC, Sabunciyan S, Langmead B, McDonald OG, et al. Increased methylation variation in epigenetic domains across cancer types. Nat Genet. Nature Publishing Group; 2011;43: 768–75. doi:10.1038/ng.865</w:t>
      </w:r>
    </w:p>
    <w:p w14:paraId="633D1E2A"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27. </w:t>
      </w:r>
      <w:r w:rsidRPr="00F43643">
        <w:rPr>
          <w:rFonts w:ascii="Arial" w:hAnsi="Arial" w:cs="Arial"/>
          <w:noProof/>
          <w:sz w:val="22"/>
        </w:rPr>
        <w:tab/>
        <w:t>Tung J, Zhou X, Alberts SC, Stephens M, Gilad Y. The genetic architecture of gene expression levels in wild baboons. eLife. 2015;4: 1–22. doi:10.7554/eLife.04729</w:t>
      </w:r>
    </w:p>
    <w:p w14:paraId="3ABB2912"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28. </w:t>
      </w:r>
      <w:r w:rsidRPr="00F43643">
        <w:rPr>
          <w:rFonts w:ascii="Arial" w:hAnsi="Arial" w:cs="Arial"/>
          <w:noProof/>
          <w:sz w:val="22"/>
        </w:rPr>
        <w:tab/>
        <w:t>Peng X, Thierry-Mieg J, Thierry-Mieg D, Nishida a., Pipes L, Bozinoski M, et al. Tissue-specific transcriptome sequencing analysis expands the non-human primate reference transcriptome resource (NHPRTR). Nucleic Acids Res. 2014;43: D737–D742. doi:10.1093/nar/gku1110</w:t>
      </w:r>
    </w:p>
    <w:p w14:paraId="39235C06"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29. </w:t>
      </w:r>
      <w:r w:rsidRPr="00F43643">
        <w:rPr>
          <w:rFonts w:ascii="Arial" w:hAnsi="Arial" w:cs="Arial"/>
          <w:noProof/>
          <w:sz w:val="22"/>
        </w:rPr>
        <w:tab/>
        <w:t>Jostins L, Ripke S, Weersma RK, Duerr RH, McGovern DP, Hui KY, et al. Host-microbe interactions have shaped the genetic architecture of inflammatory bowel disease. Nature. 2012;491: 119–124. doi:10.1038/nature11582.Host-microbe</w:t>
      </w:r>
    </w:p>
    <w:p w14:paraId="1C8E2CC5"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30. </w:t>
      </w:r>
      <w:r w:rsidRPr="00F43643">
        <w:rPr>
          <w:rFonts w:ascii="Arial" w:hAnsi="Arial" w:cs="Arial"/>
          <w:noProof/>
          <w:sz w:val="22"/>
        </w:rPr>
        <w:tab/>
        <w:t>Franke A, McGovern DPB, Barrett JC, Wang K, Radford-Smith GL, Ahmad T, et al. Genome-wide meta-analysis increases to 71 the number of confirmed Crohn’s disease susceptibility loci. Nat Genet. Nature Publishing Group; 2010;42: 1118–1125. doi:10.1038/ng.717</w:t>
      </w:r>
    </w:p>
    <w:p w14:paraId="15584C33"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31. </w:t>
      </w:r>
      <w:r w:rsidRPr="00F43643">
        <w:rPr>
          <w:rFonts w:ascii="Arial" w:hAnsi="Arial" w:cs="Arial"/>
          <w:noProof/>
          <w:sz w:val="22"/>
        </w:rPr>
        <w:tab/>
        <w:t>Estrada K, Krawczak M, Schreiber S, van Duijn K, Stolk L, van Meurs JBJ, et al. A genome-wide association study of northwestern Europeans involves the C-type natriuretic peptide signaling pathway in the etiology of human height variation. Hum Mol Genet. 2009;18: 3516–3524. doi:10.1093/hmg/ddp296</w:t>
      </w:r>
    </w:p>
    <w:p w14:paraId="776FF0B4"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32. </w:t>
      </w:r>
      <w:r w:rsidRPr="00F43643">
        <w:rPr>
          <w:rFonts w:ascii="Arial" w:hAnsi="Arial" w:cs="Arial"/>
          <w:noProof/>
          <w:sz w:val="22"/>
        </w:rPr>
        <w:tab/>
        <w:t>Vithana EN, Khor C-C, Qiao C, Nongpiur ME, George R, Chen L-J, et al. Genome-wide association analyses identify three new susceptibility loci for primary angle closure glaucoma. Nat Genet. 2012;44: 1142–1146. doi:10.1038/ng.2390</w:t>
      </w:r>
    </w:p>
    <w:p w14:paraId="1C7221BA"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33. </w:t>
      </w:r>
      <w:r w:rsidRPr="00F43643">
        <w:rPr>
          <w:rFonts w:ascii="Arial" w:hAnsi="Arial" w:cs="Arial"/>
          <w:noProof/>
          <w:sz w:val="22"/>
        </w:rPr>
        <w:tab/>
        <w:t>Estrada K, Styrkarsdottir U, Evangelou E, Hsu YH, Duncan EL, Ntzani EE, et al. Genome-wide meta-analysis identifies 56 bone mineral density loci and reveals 14 loci associated with risk of fracture. Nat Genet. 2012;44: 491–502. doi:10.1038/ng.2249</w:t>
      </w:r>
    </w:p>
    <w:p w14:paraId="6184AB9E"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34. </w:t>
      </w:r>
      <w:r w:rsidRPr="00F43643">
        <w:rPr>
          <w:rFonts w:ascii="Arial" w:hAnsi="Arial" w:cs="Arial"/>
          <w:noProof/>
          <w:sz w:val="22"/>
        </w:rPr>
        <w:tab/>
        <w:t>Soranzo N, Spector TD, Mangino M, Kühnel B, Rendon A, Teumer A, et al. A genome-wide meta-analysis identifies 22 loci associated with eight hematological parameters in the HaemGen consortium. Nat Genet. Nature Publishing Group; 2009;41: 1182–1190. doi:10.1038/ng.467</w:t>
      </w:r>
    </w:p>
    <w:p w14:paraId="39B8BE71"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35. </w:t>
      </w:r>
      <w:r w:rsidRPr="00F43643">
        <w:rPr>
          <w:rFonts w:ascii="Arial" w:hAnsi="Arial" w:cs="Arial"/>
          <w:noProof/>
          <w:sz w:val="22"/>
        </w:rPr>
        <w:tab/>
        <w:t>Gieger C, Kühnel B, Radhakrishnan a, Cvejic a, Serbanovic-Canic J, Meacham S, et al. New gene functions in megakaryopoiesis and platelet formation. Nature. Nature Publishing Group; 2011;480: 201–208. doi:10.1038/nature10659</w:t>
      </w:r>
    </w:p>
    <w:p w14:paraId="7F6EBA0E"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36. </w:t>
      </w:r>
      <w:r w:rsidRPr="00F43643">
        <w:rPr>
          <w:rFonts w:ascii="Arial" w:hAnsi="Arial" w:cs="Arial"/>
          <w:noProof/>
          <w:sz w:val="22"/>
        </w:rPr>
        <w:tab/>
        <w:t>Comuzzie AG, Cole S a., Laston SL, Voruganti VS, Haack K, Gibbs R a., et al. Novel Genetic Loci Identified for the Pathophysiology of Childhood Obesity in the Hispanic Population. PLoS One. 2012;7. doi:10.1371/journal.pone.0051954</w:t>
      </w:r>
    </w:p>
    <w:p w14:paraId="55E4B674"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37. </w:t>
      </w:r>
      <w:r w:rsidRPr="00F43643">
        <w:rPr>
          <w:rFonts w:ascii="Arial" w:hAnsi="Arial" w:cs="Arial"/>
          <w:noProof/>
          <w:sz w:val="22"/>
        </w:rPr>
        <w:tab/>
        <w:t>Service SK, Verweij KJH, Lahti J, Congdon E, Ekelund J, Hintsanen M, et al. A genome-wide meta-analysis of association studies of Cloninger’s Temperament Scales. Transl Psychiatry. 2012;2: e116. doi:10.1038/tp.2012.37</w:t>
      </w:r>
    </w:p>
    <w:p w14:paraId="42385449"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lastRenderedPageBreak/>
        <w:t xml:space="preserve">38. </w:t>
      </w:r>
      <w:r w:rsidRPr="00F43643">
        <w:rPr>
          <w:rFonts w:ascii="Arial" w:hAnsi="Arial" w:cs="Arial"/>
          <w:noProof/>
          <w:sz w:val="22"/>
        </w:rPr>
        <w:tab/>
        <w:t>Divaris K, Monda KL, North KE, Olshan a. F, Lange EM, Moss K, et al. Genome-wide Association Study of Periodontal Pathogen Colonization. J Dent Res. 2012;91: S21–S28. doi:10.1177/0022034512447951</w:t>
      </w:r>
    </w:p>
    <w:p w14:paraId="06064DB0" w14:textId="77777777" w:rsidR="00F43643" w:rsidRPr="00F43643" w:rsidRDefault="00F43643">
      <w:pPr>
        <w:pStyle w:val="NormalWeb"/>
        <w:ind w:left="640" w:hanging="640"/>
        <w:divId w:val="728305358"/>
        <w:rPr>
          <w:rFonts w:ascii="Arial" w:hAnsi="Arial" w:cs="Arial"/>
          <w:noProof/>
          <w:sz w:val="22"/>
        </w:rPr>
      </w:pPr>
      <w:r w:rsidRPr="00F43643">
        <w:rPr>
          <w:rFonts w:ascii="Arial" w:hAnsi="Arial" w:cs="Arial"/>
          <w:noProof/>
          <w:sz w:val="22"/>
        </w:rPr>
        <w:t xml:space="preserve">39. </w:t>
      </w:r>
      <w:r w:rsidRPr="00F43643">
        <w:rPr>
          <w:rFonts w:ascii="Arial" w:hAnsi="Arial" w:cs="Arial"/>
          <w:noProof/>
          <w:sz w:val="22"/>
        </w:rPr>
        <w:tab/>
        <w:t xml:space="preserve">Scuteri A, Sanna S, Chen WM, Uda M, Albai G, Strait J, et al. Genome-wide association scan shows genetic variants in the FTO gene are associated with obesity-related traits. PLoS Genet. 2007;3: 1200–1210. doi:10.1371/journal.pgen.0030115 </w:t>
      </w:r>
    </w:p>
    <w:p w14:paraId="3ADF1242" w14:textId="77777777" w:rsidR="000F7048" w:rsidRPr="004736A5" w:rsidRDefault="000F7048" w:rsidP="00F43643">
      <w:pPr>
        <w:pStyle w:val="NormalWeb"/>
        <w:ind w:left="640" w:hanging="640"/>
        <w:divId w:val="1154026828"/>
        <w:rPr>
          <w:rFonts w:ascii="Arial" w:hAnsi="Arial" w:cs="Arial"/>
          <w:sz w:val="22"/>
          <w:szCs w:val="22"/>
        </w:rPr>
      </w:pPr>
      <w:r w:rsidRPr="004736A5">
        <w:rPr>
          <w:rFonts w:ascii="Arial" w:hAnsi="Arial" w:cs="Arial"/>
          <w:sz w:val="22"/>
          <w:szCs w:val="22"/>
        </w:rPr>
        <w:fldChar w:fldCharType="end"/>
      </w:r>
      <w:r w:rsidRPr="004736A5">
        <w:rPr>
          <w:rFonts w:ascii="Arial" w:hAnsi="Arial" w:cs="Arial"/>
          <w:sz w:val="22"/>
          <w:szCs w:val="22"/>
        </w:rPr>
        <w:br w:type="page"/>
      </w:r>
    </w:p>
    <w:p w14:paraId="1ACC4618" w14:textId="77777777" w:rsidR="000F7048" w:rsidRDefault="000F7048" w:rsidP="000F7048">
      <w:pPr>
        <w:pStyle w:val="Heading1"/>
        <w:spacing w:line="240" w:lineRule="auto"/>
        <w:rPr>
          <w:noProof/>
        </w:rPr>
      </w:pPr>
      <w:bookmarkStart w:id="32" w:name="_Toc297739059"/>
      <w:bookmarkStart w:id="33" w:name="_Toc306792085"/>
      <w:bookmarkStart w:id="34" w:name="_Toc306797756"/>
      <w:r w:rsidRPr="004736A5">
        <w:lastRenderedPageBreak/>
        <w:t>Figure S1. Flow chart describing data processing steps (light blue boxes) and main analyses (dark blue boxes).</w:t>
      </w:r>
      <w:bookmarkEnd w:id="32"/>
      <w:bookmarkEnd w:id="33"/>
      <w:bookmarkEnd w:id="34"/>
      <w:r w:rsidRPr="00A0783C">
        <w:rPr>
          <w:noProof/>
        </w:rPr>
        <w:t xml:space="preserve"> </w:t>
      </w:r>
    </w:p>
    <w:p w14:paraId="29A9D193" w14:textId="77777777" w:rsidR="000F7048" w:rsidRPr="004736A5" w:rsidRDefault="000F7048" w:rsidP="000F7048">
      <w:pPr>
        <w:pStyle w:val="Heading1"/>
        <w:spacing w:line="240" w:lineRule="auto"/>
      </w:pPr>
      <w:r>
        <w:rPr>
          <w:noProof/>
        </w:rPr>
        <w:drawing>
          <wp:inline distT="0" distB="0" distL="0" distR="0" wp14:anchorId="11FE1625" wp14:editId="5BA445C2">
            <wp:extent cx="5952108" cy="7513955"/>
            <wp:effectExtent l="0" t="0" r="0" b="4445"/>
            <wp:docPr id="8" name="Picture 8" descr="Macintosh HD:Users:amandalea:Dropbox:Amanda_files:alberts-tung lab:Lodge_DNAm_mar2014:May2015_final_analyses:diet_figures_par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andalea:Dropbox:Amanda_files:alberts-tung lab:Lodge_DNAm_mar2014:May2015_final_analyses:diet_figures_part2.pdf"/>
                    <pic:cNvPicPr>
                      <a:picLocks noChangeAspect="1" noChangeArrowheads="1"/>
                    </pic:cNvPicPr>
                  </pic:nvPicPr>
                  <pic:blipFill rotWithShape="1">
                    <a:blip r:embed="rId7">
                      <a:extLst>
                        <a:ext uri="{28A0092B-C50C-407E-A947-70E740481C1C}">
                          <a14:useLocalDpi xmlns:a14="http://schemas.microsoft.com/office/drawing/2010/main" val="0"/>
                        </a:ext>
                      </a:extLst>
                    </a:blip>
                    <a:srcRect t="727" b="4730"/>
                    <a:stretch/>
                  </pic:blipFill>
                  <pic:spPr bwMode="auto">
                    <a:xfrm>
                      <a:off x="0" y="0"/>
                      <a:ext cx="5953703" cy="7515968"/>
                    </a:xfrm>
                    <a:prstGeom prst="rect">
                      <a:avLst/>
                    </a:prstGeom>
                    <a:noFill/>
                    <a:ln>
                      <a:noFill/>
                    </a:ln>
                    <a:extLst>
                      <a:ext uri="{53640926-AAD7-44d8-BBD7-CCE9431645EC}">
                        <a14:shadowObscured xmlns:a14="http://schemas.microsoft.com/office/drawing/2010/main"/>
                      </a:ext>
                    </a:extLst>
                  </pic:spPr>
                </pic:pic>
              </a:graphicData>
            </a:graphic>
          </wp:inline>
        </w:drawing>
      </w:r>
    </w:p>
    <w:p w14:paraId="72D9B97C" w14:textId="77777777" w:rsidR="000F7048" w:rsidRPr="004736A5" w:rsidRDefault="000F7048" w:rsidP="000F7048">
      <w:pPr>
        <w:pStyle w:val="Heading1"/>
        <w:spacing w:line="240" w:lineRule="auto"/>
      </w:pPr>
      <w:bookmarkStart w:id="35" w:name="_Toc306792086"/>
      <w:bookmarkStart w:id="36" w:name="_Toc306797757"/>
      <w:r w:rsidRPr="004736A5">
        <w:rPr>
          <w:noProof/>
        </w:rPr>
        <w:lastRenderedPageBreak/>
        <w:drawing>
          <wp:anchor distT="0" distB="0" distL="114300" distR="114300" simplePos="0" relativeHeight="251659264" behindDoc="0" locked="0" layoutInCell="1" allowOverlap="1" wp14:anchorId="481505C8" wp14:editId="698BAF7B">
            <wp:simplePos x="0" y="0"/>
            <wp:positionH relativeFrom="column">
              <wp:posOffset>0</wp:posOffset>
            </wp:positionH>
            <wp:positionV relativeFrom="paragraph">
              <wp:posOffset>2675890</wp:posOffset>
            </wp:positionV>
            <wp:extent cx="5829300" cy="2924810"/>
            <wp:effectExtent l="0" t="0" r="12700" b="0"/>
            <wp:wrapThrough wrapText="bothSides">
              <wp:wrapPolygon edited="0">
                <wp:start x="0" y="0"/>
                <wp:lineTo x="0" y="21384"/>
                <wp:lineTo x="21553" y="21384"/>
                <wp:lineTo x="2155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007" t="21971" r="9897" b="21765"/>
                    <a:stretch/>
                  </pic:blipFill>
                  <pic:spPr bwMode="auto">
                    <a:xfrm>
                      <a:off x="0" y="0"/>
                      <a:ext cx="5829300" cy="292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36A5">
        <w:t xml:space="preserve">Figure S2. Genomic compartment annotations used in this study. </w:t>
      </w:r>
      <w:r w:rsidRPr="004736A5">
        <w:rPr>
          <w:b w:val="0"/>
        </w:rPr>
        <w:t>We tested for enrichment of resource-base associated sites in promoters, gene bodies, CpG islands, CpG island shores, enhancers, and unannotated regions of the genome. Below, we provide a cartoon depiction of these functional elements and their typical methylation status at an example gene. Methylated CpG sites are depicted as gray shaded lollipops, unmethylated CpG sites are depicted as white/unshaded lollipops, the gene body is depicted as a blue rectangle, and molecules that aid in transcriptional activation (e.g., transcription factors/activator proteins) are depicted as colored ovals. The promoter region is directly upstream of the gene body (defined as 2 kb upstream in our analyses), and is often associated with a CpG island (a dense cluster of CpG sites, usually unmethylated). CpG shores are defined as the 2 kb flanking CpG islands. Enhancer regions are short regions of DNA that often occur far from genes (although can also be found within or proximal to genes). Distal enhancers interact with promoter regions through DNA looping; they bind proteins (e.g., the green oval) that activate transcription. In our study, unannotated regions are defined as regions that do not fall into one of the five defined functional genomic compartments (promoters, gene bodies, CpG islands, CpG island shores, and enhancers)</w:t>
      </w:r>
      <w:r w:rsidRPr="004736A5">
        <w:t>.</w:t>
      </w:r>
      <w:r w:rsidRPr="004736A5">
        <w:rPr>
          <w:b w:val="0"/>
        </w:rPr>
        <w:t xml:space="preserve"> Such regions are generally hypermethylated.</w:t>
      </w:r>
      <w:bookmarkEnd w:id="35"/>
      <w:bookmarkEnd w:id="36"/>
      <w:r w:rsidRPr="004736A5">
        <w:br w:type="page"/>
      </w:r>
    </w:p>
    <w:p w14:paraId="25ADB605" w14:textId="77777777" w:rsidR="000F7048" w:rsidRPr="004736A5" w:rsidRDefault="000F7048" w:rsidP="000F7048">
      <w:pPr>
        <w:pStyle w:val="Heading1"/>
        <w:spacing w:line="240" w:lineRule="auto"/>
        <w:rPr>
          <w:b w:val="0"/>
        </w:rPr>
      </w:pPr>
      <w:bookmarkStart w:id="37" w:name="_Toc306792087"/>
      <w:bookmarkStart w:id="38" w:name="_Toc306797758"/>
      <w:r w:rsidRPr="004736A5">
        <w:lastRenderedPageBreak/>
        <w:t xml:space="preserve">Figure S3. Histone marks and genomic compartments associated with individual chromatin states. </w:t>
      </w:r>
      <w:r w:rsidRPr="004736A5">
        <w:rPr>
          <w:b w:val="0"/>
        </w:rPr>
        <w:t>(A) Histone mark data generated by the NIH Roadmap Epigenomics Project were used to define the 15 chromatin states used in this study (also produced by the Roadmap Epigenomics project). Each chromatin state is defined by the presence (dark blue square = strongly enriched; light blue square = weakly enriched) or absence (white square) of individual histone modifications (x axis labels). (B) We overlaid the Roadmap Epigenomics chromatin state annotations for human peripheral blood mononuclear cells onto the CpG sites tested in our data set and the genomic compartment annotations described in Figure S2. Here, we show the degree to which different chromatin states are more likely to occur in specific genomic compartments (dark purple square = strongly enriched; light purple square = weakly enriched; white square = not enriched).</w:t>
      </w:r>
      <w:bookmarkEnd w:id="37"/>
      <w:bookmarkEnd w:id="38"/>
      <w:r w:rsidRPr="004736A5">
        <w:rPr>
          <w:b w:val="0"/>
        </w:rPr>
        <w:t xml:space="preserve"> </w:t>
      </w:r>
    </w:p>
    <w:p w14:paraId="142CADEB" w14:textId="77777777" w:rsidR="000F7048" w:rsidRPr="004736A5" w:rsidRDefault="000F7048" w:rsidP="000F7048"/>
    <w:p w14:paraId="1118CA85" w14:textId="77777777" w:rsidR="000F7048" w:rsidRPr="004736A5" w:rsidRDefault="000F7048" w:rsidP="000F7048"/>
    <w:p w14:paraId="7F1E01FE" w14:textId="77777777" w:rsidR="000F7048" w:rsidRPr="00A50C1F" w:rsidRDefault="000F7048" w:rsidP="000F7048">
      <w:pPr>
        <w:rPr>
          <w:rFonts w:ascii="Arial" w:hAnsi="Arial" w:cs="Arial"/>
          <w:b/>
          <w:sz w:val="22"/>
          <w:szCs w:val="22"/>
        </w:rPr>
      </w:pPr>
      <w:r w:rsidRPr="004736A5">
        <w:rPr>
          <w:rFonts w:ascii="Arial" w:hAnsi="Arial" w:cs="Arial"/>
          <w:b/>
          <w:noProof/>
          <w:sz w:val="22"/>
          <w:szCs w:val="22"/>
        </w:rPr>
        <w:drawing>
          <wp:inline distT="0" distB="0" distL="0" distR="0" wp14:anchorId="2ED7FC1E" wp14:editId="2EEFDD19">
            <wp:extent cx="5829300" cy="460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_figures.pdf"/>
                    <pic:cNvPicPr/>
                  </pic:nvPicPr>
                  <pic:blipFill rotWithShape="1">
                    <a:blip r:embed="rId9">
                      <a:extLst>
                        <a:ext uri="{28A0092B-C50C-407E-A947-70E740481C1C}">
                          <a14:useLocalDpi xmlns:a14="http://schemas.microsoft.com/office/drawing/2010/main" val="0"/>
                        </a:ext>
                      </a:extLst>
                    </a:blip>
                    <a:srcRect l="3885" t="1865" r="2875"/>
                    <a:stretch/>
                  </pic:blipFill>
                  <pic:spPr bwMode="auto">
                    <a:xfrm>
                      <a:off x="0" y="0"/>
                      <a:ext cx="5830220" cy="4602246"/>
                    </a:xfrm>
                    <a:prstGeom prst="rect">
                      <a:avLst/>
                    </a:prstGeom>
                    <a:ln>
                      <a:noFill/>
                    </a:ln>
                    <a:extLst>
                      <a:ext uri="{53640926-AAD7-44d8-BBD7-CCE9431645EC}">
                        <a14:shadowObscured xmlns:a14="http://schemas.microsoft.com/office/drawing/2010/main"/>
                      </a:ext>
                    </a:extLst>
                  </pic:spPr>
                </pic:pic>
              </a:graphicData>
            </a:graphic>
          </wp:inline>
        </w:drawing>
      </w:r>
    </w:p>
    <w:p w14:paraId="3D3F5786" w14:textId="77777777" w:rsidR="000F7048" w:rsidRPr="00A50C1F" w:rsidRDefault="000F7048" w:rsidP="000F7048">
      <w:pPr>
        <w:rPr>
          <w:rFonts w:ascii="Arial" w:hAnsi="Arial" w:cs="Arial"/>
          <w:b/>
          <w:sz w:val="22"/>
          <w:szCs w:val="22"/>
        </w:rPr>
      </w:pPr>
    </w:p>
    <w:p w14:paraId="420D7909" w14:textId="77777777" w:rsidR="000F7048" w:rsidRPr="00A50C1F" w:rsidRDefault="000F7048" w:rsidP="000F7048">
      <w:pPr>
        <w:rPr>
          <w:rFonts w:ascii="Arial" w:hAnsi="Arial" w:cs="Arial"/>
          <w:b/>
          <w:sz w:val="22"/>
          <w:szCs w:val="22"/>
        </w:rPr>
      </w:pPr>
    </w:p>
    <w:p w14:paraId="19E92171" w14:textId="77777777" w:rsidR="000F7048" w:rsidRPr="00A50C1F" w:rsidRDefault="000F7048" w:rsidP="000F7048">
      <w:pPr>
        <w:rPr>
          <w:rFonts w:ascii="Arial" w:hAnsi="Arial" w:cs="Arial"/>
          <w:b/>
          <w:sz w:val="22"/>
          <w:szCs w:val="22"/>
        </w:rPr>
      </w:pPr>
    </w:p>
    <w:p w14:paraId="1FB4B75B" w14:textId="77777777" w:rsidR="000F7048" w:rsidRPr="00A50C1F" w:rsidRDefault="000F7048" w:rsidP="000F7048">
      <w:pPr>
        <w:rPr>
          <w:rFonts w:ascii="Arial" w:hAnsi="Arial" w:cs="Arial"/>
          <w:b/>
          <w:sz w:val="22"/>
          <w:szCs w:val="22"/>
        </w:rPr>
      </w:pPr>
      <w:r w:rsidRPr="00A50C1F">
        <w:rPr>
          <w:rFonts w:ascii="Arial" w:hAnsi="Arial" w:cs="Arial"/>
          <w:b/>
          <w:sz w:val="22"/>
          <w:szCs w:val="22"/>
        </w:rPr>
        <w:br w:type="page"/>
      </w:r>
    </w:p>
    <w:p w14:paraId="72EAE696" w14:textId="77777777" w:rsidR="000F7048" w:rsidRPr="003B591F" w:rsidRDefault="000F7048" w:rsidP="000F7048">
      <w:pPr>
        <w:rPr>
          <w:rFonts w:ascii="Arial" w:eastAsia="Times New Roman" w:hAnsi="Arial" w:cs="Arial"/>
          <w:color w:val="222222"/>
          <w:sz w:val="22"/>
          <w:szCs w:val="22"/>
        </w:rPr>
      </w:pPr>
      <w:bookmarkStart w:id="39" w:name="_Toc297739062"/>
      <w:r w:rsidRPr="003B591F">
        <w:rPr>
          <w:rFonts w:ascii="Arial" w:hAnsi="Arial" w:cs="Arial"/>
          <w:b/>
          <w:sz w:val="22"/>
          <w:szCs w:val="22"/>
        </w:rPr>
        <w:lastRenderedPageBreak/>
        <w:t>Figure S4. Differentially methylated sites are enriched near genes expressed in baboon whole blood.</w:t>
      </w:r>
      <w:r w:rsidRPr="00565939">
        <w:rPr>
          <w:rFonts w:ascii="Arial" w:eastAsia="Times New Roman" w:hAnsi="Arial" w:cs="Arial"/>
          <w:color w:val="222222"/>
          <w:sz w:val="22"/>
          <w:szCs w:val="22"/>
        </w:rPr>
        <w:t xml:space="preserve"> </w:t>
      </w:r>
      <w:r>
        <w:rPr>
          <w:rFonts w:ascii="Arial" w:eastAsia="Times New Roman" w:hAnsi="Arial" w:cs="Arial"/>
          <w:color w:val="222222"/>
          <w:sz w:val="22"/>
          <w:szCs w:val="22"/>
        </w:rPr>
        <w:t xml:space="preserve">In the main text, we report that differentially methylated sites (10% FDR) are more likely to occur in or near genes that are expressed in baboon whole blood, compared to genes that are unexpressed in this tissue (where “in or near” is defined as within the gene body or within 10 kb of the transcription start site, TSS, or transcription end site, TES). Here we report parallel results using alternative definitions for assigning CpG sites to genes, which result in analyses of different subsets of the data. These alternative definitions correspond to sites that occur: (i) </w:t>
      </w:r>
      <w:r w:rsidRPr="000A3D75">
        <w:rPr>
          <w:rFonts w:ascii="Arial" w:eastAsia="Times New Roman" w:hAnsi="Arial" w:cs="Arial"/>
          <w:color w:val="222222"/>
          <w:sz w:val="22"/>
          <w:szCs w:val="22"/>
          <w:u w:val="single"/>
        </w:rPr>
        <w:t>2</w:t>
      </w:r>
      <w:r>
        <w:rPr>
          <w:rFonts w:ascii="Arial" w:eastAsia="Times New Roman" w:hAnsi="Arial" w:cs="Arial"/>
          <w:color w:val="222222"/>
          <w:sz w:val="22"/>
          <w:szCs w:val="22"/>
          <w:u w:val="single"/>
        </w:rPr>
        <w:t xml:space="preserve"> </w:t>
      </w:r>
      <w:r w:rsidRPr="000A3D75">
        <w:rPr>
          <w:rFonts w:ascii="Arial" w:eastAsia="Times New Roman" w:hAnsi="Arial" w:cs="Arial"/>
          <w:color w:val="222222"/>
          <w:sz w:val="22"/>
          <w:szCs w:val="22"/>
          <w:u w:val="single"/>
        </w:rPr>
        <w:t>kb upstream</w:t>
      </w:r>
      <w:r w:rsidRPr="000A3D75">
        <w:rPr>
          <w:rFonts w:ascii="Arial" w:eastAsia="Times New Roman" w:hAnsi="Arial" w:cs="Arial"/>
          <w:color w:val="222222"/>
          <w:sz w:val="22"/>
          <w:szCs w:val="22"/>
        </w:rPr>
        <w:t>, defined as</w:t>
      </w:r>
      <w:r>
        <w:rPr>
          <w:rFonts w:ascii="Arial" w:eastAsia="Times New Roman" w:hAnsi="Arial" w:cs="Arial"/>
          <w:color w:val="222222"/>
          <w:sz w:val="22"/>
          <w:szCs w:val="22"/>
        </w:rPr>
        <w:t xml:space="preserve"> &lt;2 kb upstream of the TSS only (i.e., the putative promoter region); (ii) </w:t>
      </w:r>
      <w:r w:rsidRPr="000A3D75">
        <w:rPr>
          <w:rFonts w:ascii="Arial" w:eastAsia="Times New Roman" w:hAnsi="Arial" w:cs="Arial"/>
          <w:color w:val="222222"/>
          <w:sz w:val="22"/>
          <w:szCs w:val="22"/>
          <w:u w:val="single"/>
        </w:rPr>
        <w:t>10 kb upstream</w:t>
      </w:r>
      <w:r>
        <w:rPr>
          <w:rFonts w:ascii="Arial" w:eastAsia="Times New Roman" w:hAnsi="Arial" w:cs="Arial"/>
          <w:color w:val="222222"/>
          <w:sz w:val="22"/>
          <w:szCs w:val="22"/>
        </w:rPr>
        <w:t xml:space="preserve">, defined as &lt;10 kb upstream of the TSS only; (iii) within </w:t>
      </w:r>
      <w:r w:rsidRPr="000A3D75">
        <w:rPr>
          <w:rFonts w:ascii="Arial" w:eastAsia="Times New Roman" w:hAnsi="Arial" w:cs="Arial"/>
          <w:color w:val="222222"/>
          <w:sz w:val="22"/>
          <w:szCs w:val="22"/>
          <w:u w:val="single"/>
        </w:rPr>
        <w:t>gene bodies</w:t>
      </w:r>
      <w:r>
        <w:rPr>
          <w:rFonts w:ascii="Arial" w:eastAsia="Times New Roman" w:hAnsi="Arial" w:cs="Arial"/>
          <w:color w:val="222222"/>
          <w:sz w:val="22"/>
          <w:szCs w:val="22"/>
        </w:rPr>
        <w:t xml:space="preserve"> only; or (iv) in </w:t>
      </w:r>
      <w:r w:rsidRPr="000A3D75">
        <w:rPr>
          <w:rFonts w:ascii="Arial" w:eastAsia="Times New Roman" w:hAnsi="Arial" w:cs="Arial"/>
          <w:color w:val="222222"/>
          <w:sz w:val="22"/>
          <w:szCs w:val="22"/>
          <w:u w:val="single"/>
        </w:rPr>
        <w:t>CpG islands</w:t>
      </w:r>
      <w:r>
        <w:rPr>
          <w:rFonts w:ascii="Arial" w:eastAsia="Times New Roman" w:hAnsi="Arial" w:cs="Arial"/>
          <w:color w:val="222222"/>
          <w:sz w:val="22"/>
          <w:szCs w:val="22"/>
        </w:rPr>
        <w:t xml:space="preserve"> near genes, defined as in CpG islands within the gene body or within 10 kb of the gene TES or TSS. Below, we show the odds ratio from a Fisher’s exact test, asking whether differentially methylated sites are enriched near blood-expressed genes. Significant tests (p&lt;0.05) are marked with a red asterisk, and the number of sites tested in each case is shown in parentheses.</w:t>
      </w:r>
    </w:p>
    <w:p w14:paraId="389D021A" w14:textId="77777777" w:rsidR="000F7048" w:rsidRDefault="000F7048" w:rsidP="000F7048">
      <w:pPr>
        <w:rPr>
          <w:rFonts w:ascii="Arial" w:hAnsi="Arial" w:cs="Arial"/>
          <w:sz w:val="22"/>
          <w:szCs w:val="22"/>
        </w:rPr>
      </w:pPr>
      <w:r>
        <w:rPr>
          <w:rFonts w:ascii="Arial" w:hAnsi="Arial" w:cs="Arial"/>
          <w:noProof/>
          <w:sz w:val="22"/>
          <w:szCs w:val="22"/>
        </w:rPr>
        <w:drawing>
          <wp:inline distT="0" distB="0" distL="0" distR="0" wp14:anchorId="4301C586" wp14:editId="36037D6C">
            <wp:extent cx="5257800" cy="52853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_figures.pdf"/>
                    <pic:cNvPicPr/>
                  </pic:nvPicPr>
                  <pic:blipFill rotWithShape="1">
                    <a:blip r:embed="rId10">
                      <a:extLst>
                        <a:ext uri="{28A0092B-C50C-407E-A947-70E740481C1C}">
                          <a14:useLocalDpi xmlns:a14="http://schemas.microsoft.com/office/drawing/2010/main" val="0"/>
                        </a:ext>
                      </a:extLst>
                    </a:blip>
                    <a:srcRect l="6844" t="8611" r="24905"/>
                    <a:stretch/>
                  </pic:blipFill>
                  <pic:spPr bwMode="auto">
                    <a:xfrm>
                      <a:off x="0" y="0"/>
                      <a:ext cx="5258762" cy="5286274"/>
                    </a:xfrm>
                    <a:prstGeom prst="rect">
                      <a:avLst/>
                    </a:prstGeom>
                    <a:ln>
                      <a:noFill/>
                    </a:ln>
                    <a:extLst>
                      <a:ext uri="{53640926-AAD7-44d8-BBD7-CCE9431645EC}">
                        <a14:shadowObscured xmlns:a14="http://schemas.microsoft.com/office/drawing/2010/main"/>
                      </a:ext>
                    </a:extLst>
                  </pic:spPr>
                </pic:pic>
              </a:graphicData>
            </a:graphic>
          </wp:inline>
        </w:drawing>
      </w:r>
    </w:p>
    <w:p w14:paraId="7A6671CA" w14:textId="77777777" w:rsidR="000F7048" w:rsidRPr="00565939" w:rsidRDefault="000F7048" w:rsidP="000F7048">
      <w:pPr>
        <w:rPr>
          <w:rFonts w:ascii="Arial" w:eastAsiaTheme="majorEastAsia" w:hAnsi="Arial" w:cs="Arial"/>
          <w:b/>
          <w:bCs/>
          <w:sz w:val="22"/>
          <w:szCs w:val="22"/>
        </w:rPr>
      </w:pPr>
      <w:r w:rsidRPr="00565939">
        <w:rPr>
          <w:noProof/>
        </w:rPr>
        <w:t xml:space="preserve"> </w:t>
      </w:r>
    </w:p>
    <w:p w14:paraId="47284420" w14:textId="77777777" w:rsidR="000F7048" w:rsidRDefault="000F7048" w:rsidP="000F7048">
      <w:pPr>
        <w:rPr>
          <w:rFonts w:ascii="Arial" w:eastAsiaTheme="majorEastAsia" w:hAnsi="Arial" w:cs="Arial"/>
          <w:b/>
          <w:bCs/>
          <w:sz w:val="22"/>
          <w:szCs w:val="22"/>
        </w:rPr>
      </w:pPr>
      <w:r>
        <w:br w:type="page"/>
      </w:r>
    </w:p>
    <w:p w14:paraId="6ECA4F45" w14:textId="77777777" w:rsidR="000F7048" w:rsidRPr="00A50C1F" w:rsidRDefault="000F7048" w:rsidP="000F7048">
      <w:pPr>
        <w:pStyle w:val="Heading1"/>
        <w:spacing w:line="240" w:lineRule="auto"/>
      </w:pPr>
      <w:bookmarkStart w:id="40" w:name="_Toc306792088"/>
      <w:bookmarkStart w:id="41" w:name="_Toc306797759"/>
      <w:r w:rsidRPr="009834F3">
        <w:lastRenderedPageBreak/>
        <w:t xml:space="preserve">Figure </w:t>
      </w:r>
      <w:r>
        <w:t>S5</w:t>
      </w:r>
      <w:r w:rsidRPr="009834F3">
        <w:t xml:space="preserve">. Effect of </w:t>
      </w:r>
      <w:r>
        <w:t>resource base</w:t>
      </w:r>
      <w:r w:rsidRPr="009834F3">
        <w:t xml:space="preserve"> on DNA methylation levels analyzed at the pathway level. </w:t>
      </w:r>
      <w:r w:rsidRPr="00A50C1F">
        <w:rPr>
          <w:rFonts w:eastAsia="MS Gothic"/>
          <w:b w:val="0"/>
          <w:color w:val="000000"/>
        </w:rPr>
        <w:t xml:space="preserve">We used the R package ‘GlobalTest’ </w:t>
      </w:r>
      <w:r w:rsidRPr="00A50C1F">
        <w:rPr>
          <w:rFonts w:eastAsia="MS Gothic"/>
          <w:b w:val="0"/>
          <w:color w:val="000000"/>
        </w:rPr>
        <w:fldChar w:fldCharType="begin" w:fldLock="1"/>
      </w:r>
      <w:r w:rsidR="00F43643">
        <w:rPr>
          <w:rFonts w:eastAsia="MS Gothic"/>
          <w:b w:val="0"/>
          <w:color w:val="000000"/>
        </w:rPr>
        <w:instrText>ADDIN CSL_CITATION { "citationItems" : [ { "id" : "ITEM-1", "itemData" : { "DOI" : "10.1093/bioinformatics/btg382", "ISBN" : "1367-4803\\r1460-2059", "ISSN" : "13674803", "PMID" : "14693814", "abstract" : "MOTIVATION: This paper presents a global test to be used for the analysis of microarray data. Using this test it can be determined whether the global expression pattern of a group of genes is significantly related to some clinical outcome of interest. Groups of genes may be any size from a single gene to all genes on the chip (e.g. known pathways, specific areas of the genome or clusters from a cluster analysis). RESULT: The test allows groups of genes of different size to be compared, because the test gives one p-value for the group, not a p-value for each gene. Researchers can use the test to investigate hypotheses based on theory or past research or to mine gene ontology databases for interesting pathways. Multiple testing problems do not occur unless many groups are tested. Special attention is given to visualizations of the test result, focussing on the associations between samples and showing the impact of individual genes on the test result. AVAILABILITY: An R-package globaltest is available from http://www.bioconductor.org", "author" : [ { "dropping-particle" : "", "family" : "Goeman", "given" : "Jelle J.", "non-dropping-particle" : "", "parse-names" : false, "suffix" : "" }, { "dropping-particle" : "", "family" : "Geer", "given" : "Sara", "non-dropping-particle" : "Van de", "parse-names" : false, "suffix" : "" }, { "dropping-particle" : "", "family" : "Kort", "given" : "Floor", "non-dropping-particle" : "De", "parse-names" : false, "suffix" : "" }, { "dropping-particle" : "", "family" : "Houwellingen", "given" : "Hans C.", "non-dropping-particle" : "van", "parse-names" : false, "suffix" : "" } ], "container-title" : "Bioinformatics", "id" : "ITEM-1", "issue" : "1", "issued" : { "date-parts" : [ [ "2004" ] ] }, "page" : "93-99", "title" : "A global test for groups fo genes: Testing association with a clinical outcome", "type" : "article-journal", "volume" : "20" }, "uris" : [ "http://www.mendeley.com/documents/?uuid=acf21599-15db-485b-bc25-8102886f4d42" ] } ], "mendeley" : { "formattedCitation" : "[21]", "plainTextFormattedCitation" : "[21]", "previouslyFormattedCitation" : "[21]" }, "properties" : { "noteIndex" : 0 }, "schema" : "https://github.com/citation-style-language/schema/raw/master/csl-citation.json" }</w:instrText>
      </w:r>
      <w:r w:rsidRPr="00A50C1F">
        <w:rPr>
          <w:rFonts w:eastAsia="MS Gothic"/>
          <w:b w:val="0"/>
          <w:color w:val="000000"/>
        </w:rPr>
        <w:fldChar w:fldCharType="separate"/>
      </w:r>
      <w:r w:rsidR="00F43643" w:rsidRPr="00F43643">
        <w:rPr>
          <w:rFonts w:eastAsia="MS Gothic"/>
          <w:b w:val="0"/>
          <w:noProof/>
          <w:color w:val="000000"/>
        </w:rPr>
        <w:t>[21]</w:t>
      </w:r>
      <w:r w:rsidRPr="00A50C1F">
        <w:rPr>
          <w:rFonts w:eastAsia="MS Gothic"/>
          <w:b w:val="0"/>
          <w:color w:val="000000"/>
        </w:rPr>
        <w:fldChar w:fldCharType="end"/>
      </w:r>
      <w:r w:rsidRPr="00A50C1F">
        <w:rPr>
          <w:rFonts w:eastAsia="MS Gothic"/>
          <w:b w:val="0"/>
          <w:color w:val="000000"/>
        </w:rPr>
        <w:t xml:space="preserve"> to </w:t>
      </w:r>
      <w:r>
        <w:rPr>
          <w:rFonts w:eastAsia="MS Gothic"/>
          <w:b w:val="0"/>
          <w:color w:val="000000"/>
        </w:rPr>
        <w:t>test for a global effect of resource base on DNA methylation levels at</w:t>
      </w:r>
      <w:r w:rsidRPr="00A50C1F">
        <w:rPr>
          <w:rFonts w:eastAsia="MS Gothic"/>
          <w:b w:val="0"/>
          <w:color w:val="000000"/>
        </w:rPr>
        <w:t xml:space="preserve"> CpG sites in or near genes in specific </w:t>
      </w:r>
      <w:r>
        <w:rPr>
          <w:rFonts w:eastAsia="MS Gothic"/>
          <w:b w:val="0"/>
          <w:color w:val="000000"/>
        </w:rPr>
        <w:t xml:space="preserve">predefined </w:t>
      </w:r>
      <w:r w:rsidRPr="00A50C1F">
        <w:rPr>
          <w:rFonts w:eastAsia="MS Gothic"/>
          <w:b w:val="0"/>
          <w:color w:val="000000"/>
        </w:rPr>
        <w:t>pathway</w:t>
      </w:r>
      <w:r>
        <w:rPr>
          <w:rFonts w:eastAsia="MS Gothic"/>
          <w:b w:val="0"/>
          <w:color w:val="000000"/>
        </w:rPr>
        <w:t>s</w:t>
      </w:r>
      <w:r w:rsidRPr="00A50C1F">
        <w:rPr>
          <w:rFonts w:eastAsia="MS Gothic"/>
          <w:b w:val="0"/>
          <w:color w:val="000000"/>
        </w:rPr>
        <w:t>.</w:t>
      </w:r>
      <w:r>
        <w:rPr>
          <w:rFonts w:eastAsia="MS Gothic"/>
          <w:b w:val="0"/>
          <w:color w:val="000000"/>
        </w:rPr>
        <w:t xml:space="preserve"> We performed this test on 36 pathways related to the metabolism of food or to energy balance. Results of these analyses are shown here (blue = significant at a 10% FDR). For pathways that include CpG sites in or near </w:t>
      </w:r>
      <w:r w:rsidRPr="00A50C1F">
        <w:rPr>
          <w:rFonts w:eastAsia="MS Gothic"/>
          <w:b w:val="0"/>
          <w:i/>
          <w:color w:val="000000"/>
        </w:rPr>
        <w:t>PFKP</w:t>
      </w:r>
      <w:r>
        <w:rPr>
          <w:rFonts w:eastAsia="MS Gothic"/>
          <w:b w:val="0"/>
          <w:color w:val="000000"/>
        </w:rPr>
        <w:t xml:space="preserve">, we also conducted a parallel analysis excluding all sites in or near this gene (denoted as red diamonds). When sites near </w:t>
      </w:r>
      <w:r w:rsidRPr="00A50C1F">
        <w:rPr>
          <w:rFonts w:eastAsia="MS Gothic"/>
          <w:b w:val="0"/>
          <w:i/>
          <w:color w:val="000000"/>
        </w:rPr>
        <w:t>PFKP</w:t>
      </w:r>
      <w:r>
        <w:rPr>
          <w:rFonts w:eastAsia="MS Gothic"/>
          <w:b w:val="0"/>
          <w:color w:val="000000"/>
        </w:rPr>
        <w:t xml:space="preserve"> are excluded from the analysis, the top three pathways do not show differential methylation at a 10% FDR threshold, and only the glycolysis and gluconeogenesis pathway remains significant at a nominal p-value of 0.05.</w:t>
      </w:r>
      <w:bookmarkEnd w:id="39"/>
      <w:bookmarkEnd w:id="40"/>
      <w:bookmarkEnd w:id="41"/>
      <w:r>
        <w:rPr>
          <w:rFonts w:eastAsia="MS Gothic"/>
          <w:b w:val="0"/>
          <w:color w:val="000000"/>
        </w:rPr>
        <w:t xml:space="preserve"> </w:t>
      </w:r>
    </w:p>
    <w:p w14:paraId="62500D7D" w14:textId="77777777" w:rsidR="000F7048" w:rsidRPr="00A50C1F" w:rsidRDefault="000F7048" w:rsidP="000F7048">
      <w:pPr>
        <w:rPr>
          <w:rFonts w:ascii="Arial" w:hAnsi="Arial" w:cs="Arial"/>
          <w:b/>
          <w:sz w:val="22"/>
          <w:szCs w:val="22"/>
        </w:rPr>
      </w:pPr>
      <w:r>
        <w:rPr>
          <w:rFonts w:ascii="Arial" w:hAnsi="Arial" w:cs="Arial"/>
          <w:b/>
          <w:noProof/>
          <w:sz w:val="22"/>
          <w:szCs w:val="22"/>
        </w:rPr>
        <w:drawing>
          <wp:inline distT="0" distB="0" distL="0" distR="0" wp14:anchorId="3EEF669C" wp14:editId="0140485D">
            <wp:extent cx="5486400" cy="5922272"/>
            <wp:effectExtent l="0" t="0" r="0" b="0"/>
            <wp:docPr id="10" name="Picture 10" descr="Macintosh HD:Users:amandalea:Dropbox:Amanda_files:alberts-tung lab:Lodge_DNAm_mar2014:May2015_final_analyses:diet_figur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andalea:Dropbox:Amanda_files:alberts-tung lab:Lodge_DNAm_mar2014:May2015_final_analyses:diet_figures.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34" r="18735"/>
                    <a:stretch/>
                  </pic:blipFill>
                  <pic:spPr bwMode="auto">
                    <a:xfrm>
                      <a:off x="0" y="0"/>
                      <a:ext cx="5487182" cy="5923116"/>
                    </a:xfrm>
                    <a:prstGeom prst="rect">
                      <a:avLst/>
                    </a:prstGeom>
                    <a:noFill/>
                    <a:ln>
                      <a:noFill/>
                    </a:ln>
                    <a:extLst>
                      <a:ext uri="{53640926-AAD7-44d8-BBD7-CCE9431645EC}">
                        <a14:shadowObscured xmlns:a14="http://schemas.microsoft.com/office/drawing/2010/main"/>
                      </a:ext>
                    </a:extLst>
                  </pic:spPr>
                </pic:pic>
              </a:graphicData>
            </a:graphic>
          </wp:inline>
        </w:drawing>
      </w:r>
    </w:p>
    <w:p w14:paraId="34226554" w14:textId="77777777" w:rsidR="000F7048" w:rsidRPr="00A50C1F" w:rsidRDefault="000F7048" w:rsidP="000F7048">
      <w:pPr>
        <w:rPr>
          <w:rFonts w:ascii="Arial" w:hAnsi="Arial" w:cs="Arial"/>
          <w:b/>
          <w:sz w:val="22"/>
          <w:szCs w:val="22"/>
        </w:rPr>
      </w:pPr>
      <w:r w:rsidRPr="00A50C1F">
        <w:rPr>
          <w:rFonts w:ascii="Arial" w:hAnsi="Arial" w:cs="Arial"/>
          <w:b/>
          <w:sz w:val="22"/>
          <w:szCs w:val="22"/>
        </w:rPr>
        <w:br w:type="page"/>
      </w:r>
    </w:p>
    <w:p w14:paraId="26961717" w14:textId="77777777" w:rsidR="000F7048" w:rsidRPr="00A50C1F" w:rsidRDefault="000F7048" w:rsidP="000F7048">
      <w:pPr>
        <w:pStyle w:val="Heading1"/>
        <w:spacing w:line="240" w:lineRule="auto"/>
      </w:pPr>
      <w:bookmarkStart w:id="42" w:name="_Toc297739065"/>
      <w:bookmarkStart w:id="43" w:name="_Toc306792089"/>
      <w:bookmarkStart w:id="44" w:name="_Toc306797760"/>
      <w:r w:rsidRPr="009834F3">
        <w:lastRenderedPageBreak/>
        <w:t xml:space="preserve">Figure </w:t>
      </w:r>
      <w:r>
        <w:t>S6</w:t>
      </w:r>
      <w:r w:rsidRPr="009834F3">
        <w:t xml:space="preserve">. </w:t>
      </w:r>
      <w:r>
        <w:t>DMRs</w:t>
      </w:r>
      <w:r w:rsidRPr="009834F3">
        <w:t xml:space="preserve"> are observed in the real data set more often than expected by chance.</w:t>
      </w:r>
      <w:r w:rsidRPr="00A50C1F">
        <w:t xml:space="preserve"> </w:t>
      </w:r>
      <w:r w:rsidRPr="00A50C1F">
        <w:rPr>
          <w:b w:val="0"/>
        </w:rPr>
        <w:t>We counted the number of sites</w:t>
      </w:r>
      <w:r w:rsidR="00F43643">
        <w:rPr>
          <w:b w:val="0"/>
        </w:rPr>
        <w:t xml:space="preserve"> that occur within 2 kb (i.e.,</w:t>
      </w:r>
      <w:r w:rsidRPr="00A50C1F">
        <w:rPr>
          <w:b w:val="0"/>
        </w:rPr>
        <w:t xml:space="preserve"> </w:t>
      </w:r>
      <w:r w:rsidR="00F43643" w:rsidRPr="00820FA9">
        <w:rPr>
          <w:rFonts w:ascii="ＭＳ ゴシック" w:eastAsia="ＭＳ ゴシック" w:hAnsi="ＭＳ ゴシック"/>
          <w:color w:val="000000"/>
        </w:rPr>
        <w:t>≤</w:t>
      </w:r>
      <w:r w:rsidRPr="00A50C1F">
        <w:rPr>
          <w:b w:val="0"/>
        </w:rPr>
        <w:t>1</w:t>
      </w:r>
      <w:r>
        <w:rPr>
          <w:b w:val="0"/>
        </w:rPr>
        <w:t xml:space="preserve"> </w:t>
      </w:r>
      <w:r w:rsidRPr="00A50C1F">
        <w:rPr>
          <w:b w:val="0"/>
        </w:rPr>
        <w:t xml:space="preserve">kb upstream or </w:t>
      </w:r>
      <w:r w:rsidR="00F43643" w:rsidRPr="00820FA9">
        <w:rPr>
          <w:rFonts w:ascii="ＭＳ ゴシック" w:eastAsia="ＭＳ ゴシック" w:hAnsi="ＭＳ ゴシック"/>
          <w:color w:val="000000"/>
        </w:rPr>
        <w:t>≤</w:t>
      </w:r>
      <w:r w:rsidRPr="00A50C1F">
        <w:rPr>
          <w:b w:val="0"/>
        </w:rPr>
        <w:t>1</w:t>
      </w:r>
      <w:r>
        <w:rPr>
          <w:b w:val="0"/>
        </w:rPr>
        <w:t xml:space="preserve"> </w:t>
      </w:r>
      <w:r w:rsidRPr="00A50C1F">
        <w:rPr>
          <w:b w:val="0"/>
        </w:rPr>
        <w:t xml:space="preserve">kb downstream) of sites associated with </w:t>
      </w:r>
      <w:r>
        <w:rPr>
          <w:b w:val="0"/>
        </w:rPr>
        <w:t>resource base</w:t>
      </w:r>
      <w:r w:rsidRPr="00A50C1F">
        <w:rPr>
          <w:b w:val="0"/>
        </w:rPr>
        <w:t xml:space="preserve"> at a 10% FDR, considering only the 847 </w:t>
      </w:r>
      <w:r>
        <w:rPr>
          <w:b w:val="0"/>
        </w:rPr>
        <w:t>resource base</w:t>
      </w:r>
      <w:r w:rsidRPr="00A50C1F">
        <w:rPr>
          <w:b w:val="0"/>
        </w:rPr>
        <w:t xml:space="preserve">-associated sites with at least 1 nearby site within the 2 kb window. The resulting distribution of sites is shown in blue; the distribution of values obtained from performing the same analysis on permuted data is shown in red. </w:t>
      </w:r>
      <w:r>
        <w:rPr>
          <w:b w:val="0"/>
        </w:rPr>
        <w:t>T</w:t>
      </w:r>
      <w:r w:rsidRPr="00A50C1F">
        <w:rPr>
          <w:b w:val="0"/>
        </w:rPr>
        <w:t>o obtain the permuted data distribution shown below, we analyzed four different permuted datasets and averaged the results.</w:t>
      </w:r>
      <w:bookmarkEnd w:id="42"/>
      <w:bookmarkEnd w:id="43"/>
      <w:bookmarkEnd w:id="44"/>
    </w:p>
    <w:p w14:paraId="6700A372" w14:textId="77777777" w:rsidR="000F7048" w:rsidRPr="00A50C1F" w:rsidRDefault="000F7048" w:rsidP="000F7048">
      <w:pPr>
        <w:rPr>
          <w:rFonts w:ascii="Arial" w:hAnsi="Arial" w:cs="Arial"/>
          <w:sz w:val="22"/>
          <w:szCs w:val="22"/>
        </w:rPr>
      </w:pPr>
    </w:p>
    <w:p w14:paraId="1E8B414E" w14:textId="77777777" w:rsidR="000F7048" w:rsidRPr="00A50C1F" w:rsidRDefault="000F7048" w:rsidP="000F7048">
      <w:pPr>
        <w:rPr>
          <w:rFonts w:ascii="Arial" w:hAnsi="Arial" w:cs="Arial"/>
          <w:sz w:val="22"/>
          <w:szCs w:val="22"/>
        </w:rPr>
      </w:pPr>
      <w:r w:rsidRPr="00A50C1F">
        <w:rPr>
          <w:rFonts w:ascii="Arial" w:hAnsi="Arial" w:cs="Arial"/>
          <w:noProof/>
          <w:sz w:val="22"/>
          <w:szCs w:val="22"/>
        </w:rPr>
        <w:drawing>
          <wp:inline distT="0" distB="0" distL="0" distR="0" wp14:anchorId="1A24DB86" wp14:editId="13065EF4">
            <wp:extent cx="5071890" cy="5071890"/>
            <wp:effectExtent l="0" t="0" r="8255" b="8255"/>
            <wp:docPr id="2" name="Picture 2" descr="Macintosh HD:Users:amandalea:Desktop:May2015_final_analyses:DMRs_nosingles_FDR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andalea:Desktop:May2015_final_analyses:DMRs_nosingles_FDR20.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2524" cy="5072524"/>
                    </a:xfrm>
                    <a:prstGeom prst="rect">
                      <a:avLst/>
                    </a:prstGeom>
                    <a:noFill/>
                    <a:ln>
                      <a:noFill/>
                    </a:ln>
                  </pic:spPr>
                </pic:pic>
              </a:graphicData>
            </a:graphic>
          </wp:inline>
        </w:drawing>
      </w:r>
      <w:r w:rsidRPr="00A50C1F">
        <w:rPr>
          <w:rFonts w:ascii="Arial" w:hAnsi="Arial" w:cs="Arial"/>
          <w:sz w:val="22"/>
          <w:szCs w:val="22"/>
        </w:rPr>
        <w:t xml:space="preserve"> </w:t>
      </w:r>
    </w:p>
    <w:p w14:paraId="5F550E99" w14:textId="77777777" w:rsidR="000F7048" w:rsidRPr="00A50C1F" w:rsidRDefault="000F7048" w:rsidP="000F7048">
      <w:pPr>
        <w:rPr>
          <w:rFonts w:ascii="Arial" w:hAnsi="Arial" w:cs="Arial"/>
          <w:sz w:val="22"/>
          <w:szCs w:val="22"/>
        </w:rPr>
      </w:pPr>
      <w:r w:rsidRPr="00A50C1F">
        <w:rPr>
          <w:rFonts w:ascii="Arial" w:hAnsi="Arial" w:cs="Arial"/>
          <w:sz w:val="22"/>
          <w:szCs w:val="22"/>
        </w:rPr>
        <w:br w:type="page"/>
      </w:r>
    </w:p>
    <w:p w14:paraId="5D1DE570" w14:textId="77777777" w:rsidR="000F7048" w:rsidRPr="00652F06" w:rsidRDefault="000F7048" w:rsidP="000F7048">
      <w:r w:rsidRPr="00FA7585">
        <w:rPr>
          <w:rFonts w:ascii="Arial" w:hAnsi="Arial" w:cs="Arial"/>
          <w:b/>
          <w:sz w:val="22"/>
          <w:szCs w:val="22"/>
        </w:rPr>
        <w:lastRenderedPageBreak/>
        <w:t xml:space="preserve">Figure S7. RRBS </w:t>
      </w:r>
      <w:r>
        <w:rPr>
          <w:rFonts w:ascii="Arial" w:hAnsi="Arial" w:cs="Arial"/>
          <w:b/>
          <w:sz w:val="22"/>
          <w:szCs w:val="22"/>
        </w:rPr>
        <w:t xml:space="preserve">enriches for putatively functional regions of the genome and </w:t>
      </w:r>
      <w:r w:rsidRPr="00FA7585">
        <w:rPr>
          <w:rFonts w:ascii="Arial" w:hAnsi="Arial" w:cs="Arial"/>
          <w:b/>
          <w:sz w:val="22"/>
          <w:szCs w:val="22"/>
        </w:rPr>
        <w:t>recapitulate</w:t>
      </w:r>
      <w:r>
        <w:rPr>
          <w:rFonts w:ascii="Arial" w:hAnsi="Arial" w:cs="Arial"/>
          <w:b/>
          <w:sz w:val="22"/>
          <w:szCs w:val="22"/>
        </w:rPr>
        <w:t>s</w:t>
      </w:r>
      <w:r w:rsidRPr="00FA7585">
        <w:rPr>
          <w:rFonts w:ascii="Arial" w:hAnsi="Arial" w:cs="Arial"/>
          <w:b/>
          <w:sz w:val="22"/>
          <w:szCs w:val="22"/>
        </w:rPr>
        <w:t xml:space="preserve"> known patterns</w:t>
      </w:r>
      <w:r>
        <w:rPr>
          <w:rFonts w:ascii="Arial" w:hAnsi="Arial" w:cs="Arial"/>
          <w:b/>
          <w:sz w:val="22"/>
          <w:szCs w:val="22"/>
        </w:rPr>
        <w:t xml:space="preserve"> of DNA methylation across the genome</w:t>
      </w:r>
      <w:r w:rsidRPr="00FA7585">
        <w:rPr>
          <w:rFonts w:ascii="Arial" w:hAnsi="Arial" w:cs="Arial"/>
          <w:b/>
          <w:sz w:val="22"/>
          <w:szCs w:val="22"/>
        </w:rPr>
        <w:t xml:space="preserve">. </w:t>
      </w:r>
      <w:r>
        <w:rPr>
          <w:rFonts w:ascii="Arial" w:hAnsi="Arial" w:cs="Arial"/>
          <w:sz w:val="22"/>
          <w:szCs w:val="22"/>
        </w:rPr>
        <w:t xml:space="preserve">Here, we present quality control measures for RRBS data from the full sample set we analyzed (n=69 individuals; panels B, D, and F) and from the previously published data set (n=50 of the 69 total individuals; panels A, C, and E). </w:t>
      </w:r>
      <w:r w:rsidRPr="00FA7585">
        <w:rPr>
          <w:rFonts w:ascii="Arial" w:hAnsi="Arial" w:cs="Arial"/>
          <w:b/>
          <w:sz w:val="22"/>
          <w:szCs w:val="22"/>
        </w:rPr>
        <w:t>(A-B)</w:t>
      </w:r>
      <w:r>
        <w:rPr>
          <w:rFonts w:ascii="Arial" w:hAnsi="Arial" w:cs="Arial"/>
          <w:sz w:val="22"/>
          <w:szCs w:val="22"/>
        </w:rPr>
        <w:t xml:space="preserve"> </w:t>
      </w:r>
      <w:r w:rsidRPr="00A50C1F">
        <w:rPr>
          <w:rFonts w:ascii="Arial" w:hAnsi="Arial" w:cs="Arial"/>
          <w:sz w:val="22"/>
          <w:szCs w:val="22"/>
        </w:rPr>
        <w:t>Proportion of total annotated features in the baboon genome for which a least one CpG site was analyzed.</w:t>
      </w:r>
      <w:r w:rsidRPr="00C07D9D">
        <w:rPr>
          <w:rFonts w:ascii="Arial" w:hAnsi="Arial" w:cs="Arial"/>
          <w:sz w:val="22"/>
          <w:szCs w:val="22"/>
        </w:rPr>
        <w:t xml:space="preserve"> </w:t>
      </w:r>
      <w:r w:rsidRPr="00FA7585">
        <w:rPr>
          <w:rFonts w:ascii="Arial" w:hAnsi="Arial" w:cs="Arial"/>
          <w:b/>
          <w:sz w:val="22"/>
          <w:szCs w:val="22"/>
        </w:rPr>
        <w:t>(C-D)</w:t>
      </w:r>
      <w:r w:rsidRPr="00FA7585">
        <w:rPr>
          <w:rFonts w:ascii="Arial" w:hAnsi="Arial" w:cs="Arial"/>
          <w:sz w:val="22"/>
          <w:szCs w:val="22"/>
        </w:rPr>
        <w:t xml:space="preserve"> </w:t>
      </w:r>
      <w:r w:rsidRPr="00EF6DA3">
        <w:rPr>
          <w:rStyle w:val="Heading1Char"/>
        </w:rPr>
        <w:t>M</w:t>
      </w:r>
      <w:r w:rsidRPr="00C07D9D">
        <w:rPr>
          <w:rFonts w:ascii="Arial" w:hAnsi="Arial" w:cs="Arial"/>
          <w:sz w:val="22"/>
          <w:szCs w:val="22"/>
        </w:rPr>
        <w:t>ean DNA methylation level</w:t>
      </w:r>
      <w:r>
        <w:rPr>
          <w:rFonts w:ascii="Arial" w:hAnsi="Arial" w:cs="Arial"/>
          <w:sz w:val="22"/>
          <w:szCs w:val="22"/>
        </w:rPr>
        <w:t xml:space="preserve">s </w:t>
      </w:r>
      <w:r w:rsidRPr="00C07D9D">
        <w:rPr>
          <w:rFonts w:ascii="Arial" w:hAnsi="Arial" w:cs="Arial"/>
          <w:sz w:val="22"/>
          <w:szCs w:val="22"/>
        </w:rPr>
        <w:t xml:space="preserve">as a function of distance from the TSS, </w:t>
      </w:r>
      <w:r>
        <w:rPr>
          <w:rFonts w:ascii="Arial" w:hAnsi="Arial" w:cs="Arial"/>
          <w:sz w:val="22"/>
          <w:szCs w:val="22"/>
        </w:rPr>
        <w:t>stratified</w:t>
      </w:r>
      <w:r w:rsidRPr="00C07D9D">
        <w:rPr>
          <w:rFonts w:ascii="Arial" w:hAnsi="Arial" w:cs="Arial"/>
          <w:sz w:val="22"/>
          <w:szCs w:val="22"/>
        </w:rPr>
        <w:t xml:space="preserve"> by gene expression level quartiles obtained from whole blood RNA-seq for the same baboon population </w:t>
      </w:r>
      <w:r w:rsidRPr="00FA7585">
        <w:rPr>
          <w:rFonts w:ascii="Arial" w:hAnsi="Arial" w:cs="Arial"/>
          <w:sz w:val="22"/>
          <w:szCs w:val="22"/>
        </w:rPr>
        <w:fldChar w:fldCharType="begin" w:fldLock="1"/>
      </w:r>
      <w:r w:rsidR="00F43643">
        <w:rPr>
          <w:rFonts w:ascii="Arial" w:hAnsi="Arial" w:cs="Arial"/>
          <w:sz w:val="22"/>
          <w:szCs w:val="22"/>
        </w:rPr>
        <w:instrText>ADDIN CSL_CITATION { "citationItems" : [ { "id" : "ITEM-1", "itemData" : { "DOI" : "10.7554/eLife.04729", "ISSN" : "2050-084X", "author" : [ { "dropping-particle" : "", "family" : "Tung", "given" : "Jenny", "non-dropping-particle" : "", "parse-names" : false, "suffix" : "" }, { "dropping-particle" : "", "family" : "Zhou", "given" : "Xiang", "non-dropping-particle" : "", "parse-names" : false, "suffix" : "" }, { "dropping-particle" : "", "family" : "Alberts", "given" : "Susan C", "non-dropping-particle" : "", "parse-names" : false, "suffix" : "" }, { "dropping-particle" : "", "family" : "Stephens", "given" : "Matthew", "non-dropping-particle" : "", "parse-names" : false, "suffix" : "" }, { "dropping-particle" : "", "family" : "Gilad", "given" : "Yoav", "non-dropping-particle" : "", "parse-names" : false, "suffix" : "" } ], "container-title" : "eLife", "id" : "ITEM-1", "issued" : { "date-parts" : [ [ "2015" ] ] }, "page" : "1-22", "title" : "The genetic architecture of gene expression levels in wild baboons", "type" : "article-journal", "volume" : "4" }, "uris" : [ "http://www.mendeley.com/documents/?uuid=5a06fd68-4fea-49bc-b08d-0168c6f5a83b" ] } ], "mendeley" : { "formattedCitation" : "[27]", "plainTextFormattedCitation" : "[27]", "previouslyFormattedCitation" : "[27]" }, "properties" : { "noteIndex" : 0 }, "schema" : "https://github.com/citation-style-language/schema/raw/master/csl-citation.json" }</w:instrText>
      </w:r>
      <w:r w:rsidRPr="00FA7585">
        <w:rPr>
          <w:rFonts w:ascii="Arial" w:hAnsi="Arial" w:cs="Arial"/>
          <w:sz w:val="22"/>
          <w:szCs w:val="22"/>
        </w:rPr>
        <w:fldChar w:fldCharType="separate"/>
      </w:r>
      <w:r w:rsidR="00F43643" w:rsidRPr="00F43643">
        <w:rPr>
          <w:rFonts w:ascii="Arial" w:hAnsi="Arial" w:cs="Arial"/>
          <w:noProof/>
          <w:sz w:val="22"/>
          <w:szCs w:val="22"/>
        </w:rPr>
        <w:t>[27]</w:t>
      </w:r>
      <w:r w:rsidRPr="00FA7585">
        <w:rPr>
          <w:rFonts w:ascii="Arial" w:hAnsi="Arial" w:cs="Arial"/>
          <w:sz w:val="22"/>
          <w:szCs w:val="22"/>
        </w:rPr>
        <w:fldChar w:fldCharType="end"/>
      </w:r>
      <w:r w:rsidRPr="00C07D9D">
        <w:rPr>
          <w:rFonts w:ascii="Arial" w:hAnsi="Arial" w:cs="Arial"/>
          <w:sz w:val="22"/>
          <w:szCs w:val="22"/>
        </w:rPr>
        <w:t xml:space="preserve">. Only expressed genes (as identified by </w:t>
      </w:r>
      <w:r w:rsidRPr="00FA7585">
        <w:rPr>
          <w:rFonts w:ascii="Arial" w:hAnsi="Arial" w:cs="Arial"/>
          <w:sz w:val="22"/>
          <w:szCs w:val="22"/>
        </w:rPr>
        <w:fldChar w:fldCharType="begin" w:fldLock="1"/>
      </w:r>
      <w:r w:rsidR="00F43643">
        <w:rPr>
          <w:rFonts w:ascii="Arial" w:hAnsi="Arial" w:cs="Arial"/>
          <w:sz w:val="22"/>
          <w:szCs w:val="22"/>
        </w:rPr>
        <w:instrText>ADDIN CSL_CITATION { "citationItems" : [ { "id" : "ITEM-1", "itemData" : { "DOI" : "10.7554/eLife.04729", "ISSN" : "2050-084X", "author" : [ { "dropping-particle" : "", "family" : "Tung", "given" : "Jenny", "non-dropping-particle" : "", "parse-names" : false, "suffix" : "" }, { "dropping-particle" : "", "family" : "Zhou", "given" : "Xiang", "non-dropping-particle" : "", "parse-names" : false, "suffix" : "" }, { "dropping-particle" : "", "family" : "Alberts", "given" : "Susan C", "non-dropping-particle" : "", "parse-names" : false, "suffix" : "" }, { "dropping-particle" : "", "family" : "Stephens", "given" : "Matthew", "non-dropping-particle" : "", "parse-names" : false, "suffix" : "" }, { "dropping-particle" : "", "family" : "Gilad", "given" : "Yoav", "non-dropping-particle" : "", "parse-names" : false, "suffix" : "" } ], "container-title" : "eLife", "id" : "ITEM-1", "issued" : { "date-parts" : [ [ "2015" ] ] }, "page" : "1-22", "title" : "The genetic architecture of gene expression levels in wild baboons", "type" : "article-journal", "volume" : "4" }, "uris" : [ "http://www.mendeley.com/documents/?uuid=5a06fd68-4fea-49bc-b08d-0168c6f5a83b" ] } ], "mendeley" : { "formattedCitation" : "[27]", "plainTextFormattedCitation" : "[27]", "previouslyFormattedCitation" : "[27]" }, "properties" : { "noteIndex" : 0 }, "schema" : "https://github.com/citation-style-language/schema/raw/master/csl-citation.json" }</w:instrText>
      </w:r>
      <w:r w:rsidRPr="00FA7585">
        <w:rPr>
          <w:rFonts w:ascii="Arial" w:hAnsi="Arial" w:cs="Arial"/>
          <w:sz w:val="22"/>
          <w:szCs w:val="22"/>
        </w:rPr>
        <w:fldChar w:fldCharType="separate"/>
      </w:r>
      <w:r w:rsidR="00F43643" w:rsidRPr="00F43643">
        <w:rPr>
          <w:rFonts w:ascii="Arial" w:hAnsi="Arial" w:cs="Arial"/>
          <w:noProof/>
          <w:sz w:val="22"/>
          <w:szCs w:val="22"/>
        </w:rPr>
        <w:t>[27]</w:t>
      </w:r>
      <w:r w:rsidRPr="00FA7585">
        <w:rPr>
          <w:rFonts w:ascii="Arial" w:hAnsi="Arial" w:cs="Arial"/>
          <w:sz w:val="22"/>
          <w:szCs w:val="22"/>
        </w:rPr>
        <w:fldChar w:fldCharType="end"/>
      </w:r>
      <w:r w:rsidRPr="00C07D9D">
        <w:rPr>
          <w:rFonts w:ascii="Arial" w:hAnsi="Arial" w:cs="Arial"/>
          <w:sz w:val="22"/>
          <w:szCs w:val="22"/>
        </w:rPr>
        <w:t xml:space="preserve"> were included in </w:t>
      </w:r>
      <w:r>
        <w:rPr>
          <w:rFonts w:ascii="Arial" w:hAnsi="Arial" w:cs="Arial"/>
          <w:sz w:val="22"/>
          <w:szCs w:val="22"/>
        </w:rPr>
        <w:t>these</w:t>
      </w:r>
      <w:r w:rsidRPr="00C07D9D">
        <w:rPr>
          <w:rFonts w:ascii="Arial" w:hAnsi="Arial" w:cs="Arial"/>
          <w:sz w:val="22"/>
          <w:szCs w:val="22"/>
        </w:rPr>
        <w:t xml:space="preserve"> analys</w:t>
      </w:r>
      <w:r>
        <w:rPr>
          <w:rFonts w:ascii="Arial" w:hAnsi="Arial" w:cs="Arial"/>
          <w:sz w:val="22"/>
          <w:szCs w:val="22"/>
        </w:rPr>
        <w:t>e</w:t>
      </w:r>
      <w:r w:rsidRPr="00C07D9D">
        <w:rPr>
          <w:rFonts w:ascii="Arial" w:hAnsi="Arial" w:cs="Arial"/>
          <w:sz w:val="22"/>
          <w:szCs w:val="22"/>
        </w:rPr>
        <w:t>s.</w:t>
      </w:r>
      <w:r w:rsidRPr="00FA7585">
        <w:rPr>
          <w:rFonts w:ascii="Arial" w:hAnsi="Arial" w:cs="Arial"/>
          <w:sz w:val="22"/>
          <w:szCs w:val="22"/>
        </w:rPr>
        <w:t xml:space="preserve"> </w:t>
      </w:r>
      <w:r w:rsidRPr="00C07D9D">
        <w:rPr>
          <w:rFonts w:ascii="Arial" w:hAnsi="Arial" w:cs="Arial"/>
          <w:sz w:val="22"/>
          <w:szCs w:val="22"/>
        </w:rPr>
        <w:t>As expected,</w:t>
      </w:r>
      <w:r>
        <w:rPr>
          <w:rFonts w:ascii="Arial" w:hAnsi="Arial" w:cs="Arial"/>
          <w:sz w:val="22"/>
          <w:szCs w:val="22"/>
        </w:rPr>
        <w:t xml:space="preserve"> more</w:t>
      </w:r>
      <w:r w:rsidRPr="00C07D9D">
        <w:rPr>
          <w:rFonts w:ascii="Arial" w:hAnsi="Arial" w:cs="Arial"/>
          <w:sz w:val="22"/>
          <w:szCs w:val="22"/>
        </w:rPr>
        <w:t xml:space="preserve"> highly expressed genes exhibit low</w:t>
      </w:r>
      <w:r>
        <w:rPr>
          <w:rFonts w:ascii="Arial" w:hAnsi="Arial" w:cs="Arial"/>
          <w:sz w:val="22"/>
          <w:szCs w:val="22"/>
        </w:rPr>
        <w:t>er</w:t>
      </w:r>
      <w:r w:rsidRPr="00C07D9D">
        <w:rPr>
          <w:rFonts w:ascii="Arial" w:hAnsi="Arial" w:cs="Arial"/>
          <w:sz w:val="22"/>
          <w:szCs w:val="22"/>
        </w:rPr>
        <w:t xml:space="preserve"> levels of DNA methylation near the TSS. </w:t>
      </w:r>
      <w:r w:rsidRPr="00FA7585">
        <w:rPr>
          <w:rFonts w:ascii="Arial" w:hAnsi="Arial" w:cs="Arial"/>
          <w:b/>
          <w:sz w:val="22"/>
          <w:szCs w:val="22"/>
        </w:rPr>
        <w:t>(E-F)</w:t>
      </w:r>
      <w:r w:rsidRPr="00FA7585">
        <w:rPr>
          <w:rFonts w:ascii="Arial" w:hAnsi="Arial" w:cs="Arial"/>
          <w:sz w:val="22"/>
          <w:szCs w:val="22"/>
        </w:rPr>
        <w:t xml:space="preserve"> Violin plots showing the distribution of average DNA methylation levels for CpG sites located in different genomic compartments. The white boxes indicate the interquartile range, and the black bars indicate the median DNA methylation level for each group of CpG sites. As expected, CpG islands, H3K3me1-marked enhancers and promoters tend to be lowly methylated, while gene bodies and the background set of all sites analyzed tend to be h</w:t>
      </w:r>
      <w:r>
        <w:rPr>
          <w:rFonts w:ascii="Arial" w:hAnsi="Arial" w:cs="Arial"/>
          <w:sz w:val="22"/>
          <w:szCs w:val="22"/>
        </w:rPr>
        <w:t xml:space="preserve">ighly </w:t>
      </w:r>
      <w:r w:rsidRPr="00FA7585">
        <w:rPr>
          <w:rFonts w:ascii="Arial" w:hAnsi="Arial" w:cs="Arial"/>
          <w:sz w:val="22"/>
          <w:szCs w:val="22"/>
        </w:rPr>
        <w:t xml:space="preserve">methylated. Note that the background set in </w:t>
      </w:r>
      <w:r>
        <w:rPr>
          <w:rFonts w:ascii="Arial" w:hAnsi="Arial" w:cs="Arial"/>
          <w:sz w:val="22"/>
          <w:szCs w:val="22"/>
        </w:rPr>
        <w:t>RRBS data is</w:t>
      </w:r>
      <w:r w:rsidRPr="00FA7585">
        <w:rPr>
          <w:rFonts w:ascii="Arial" w:hAnsi="Arial" w:cs="Arial"/>
          <w:sz w:val="22"/>
          <w:szCs w:val="22"/>
        </w:rPr>
        <w:t xml:space="preserve"> highly biased towards functionally active regulatory elements, reducing mean/median methylation levels below true genome-wide </w:t>
      </w:r>
      <w:r>
        <w:rPr>
          <w:rFonts w:ascii="Arial" w:hAnsi="Arial" w:cs="Arial"/>
          <w:sz w:val="22"/>
          <w:szCs w:val="22"/>
        </w:rPr>
        <w:t>values</w:t>
      </w:r>
      <w:r w:rsidRPr="00FA7585">
        <w:rPr>
          <w:rFonts w:ascii="Arial" w:hAnsi="Arial" w:cs="Arial"/>
          <w:sz w:val="22"/>
          <w:szCs w:val="22"/>
        </w:rPr>
        <w:t>.</w:t>
      </w:r>
    </w:p>
    <w:p w14:paraId="5EF7DC11" w14:textId="77777777" w:rsidR="000F7048" w:rsidRPr="00A50C1F" w:rsidRDefault="000F7048" w:rsidP="000F7048">
      <w:pPr>
        <w:rPr>
          <w:rFonts w:ascii="Arial" w:hAnsi="Arial" w:cs="Arial"/>
          <w:b/>
          <w:sz w:val="22"/>
          <w:szCs w:val="22"/>
        </w:rPr>
      </w:pPr>
    </w:p>
    <w:p w14:paraId="65C264F8" w14:textId="77777777" w:rsidR="000F7048" w:rsidRPr="00A50C1F" w:rsidRDefault="000F7048" w:rsidP="000F7048">
      <w:pPr>
        <w:rPr>
          <w:rFonts w:ascii="Arial" w:hAnsi="Arial" w:cs="Arial"/>
          <w:b/>
          <w:sz w:val="22"/>
          <w:szCs w:val="22"/>
        </w:rPr>
      </w:pPr>
    </w:p>
    <w:p w14:paraId="6DA87467" w14:textId="77777777" w:rsidR="000F7048" w:rsidRPr="00A50C1F" w:rsidRDefault="000F7048" w:rsidP="000F7048">
      <w:pPr>
        <w:rPr>
          <w:rFonts w:ascii="Arial" w:hAnsi="Arial" w:cs="Arial"/>
          <w:sz w:val="22"/>
          <w:szCs w:val="22"/>
        </w:rPr>
      </w:pPr>
      <w:r w:rsidRPr="00A50C1F">
        <w:rPr>
          <w:rFonts w:ascii="Arial" w:hAnsi="Arial" w:cs="Arial"/>
          <w:b/>
          <w:sz w:val="22"/>
          <w:szCs w:val="22"/>
        </w:rPr>
        <w:br w:type="page"/>
      </w:r>
      <w:r w:rsidRPr="00FA7585">
        <w:rPr>
          <w:rFonts w:ascii="Arial" w:hAnsi="Arial" w:cs="Arial"/>
          <w:b/>
          <w:noProof/>
          <w:sz w:val="22"/>
          <w:szCs w:val="22"/>
        </w:rPr>
        <w:lastRenderedPageBreak/>
        <w:drawing>
          <wp:inline distT="0" distB="0" distL="0" distR="0" wp14:anchorId="76756940" wp14:editId="1153C410">
            <wp:extent cx="6080288" cy="8124825"/>
            <wp:effectExtent l="0" t="0" r="0" b="3175"/>
            <wp:docPr id="5" name="Picture 5" descr="Macintosh HD:Users:amandalea:Dropbox:Amanda_files:alberts-tung lab:Lodge_DNAm_mar2014:May2015_final_analyses:diet_figures_par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andalea:Dropbox:Amanda_files:alberts-tung lab:Lodge_DNAm_mar2014:May2015_final_analyses:diet_figures_part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312" cy="8124858"/>
                    </a:xfrm>
                    <a:prstGeom prst="rect">
                      <a:avLst/>
                    </a:prstGeom>
                    <a:noFill/>
                    <a:ln>
                      <a:noFill/>
                    </a:ln>
                  </pic:spPr>
                </pic:pic>
              </a:graphicData>
            </a:graphic>
          </wp:inline>
        </w:drawing>
      </w:r>
    </w:p>
    <w:p w14:paraId="72868C59" w14:textId="77777777" w:rsidR="000F7048" w:rsidRDefault="000F7048" w:rsidP="000F7048">
      <w:pPr>
        <w:rPr>
          <w:rFonts w:ascii="Arial" w:hAnsi="Arial" w:cs="Arial"/>
          <w:sz w:val="22"/>
          <w:szCs w:val="22"/>
        </w:rPr>
      </w:pPr>
      <w:r w:rsidRPr="00FA7585">
        <w:rPr>
          <w:rFonts w:ascii="Arial" w:hAnsi="Arial" w:cs="Arial"/>
          <w:b/>
          <w:sz w:val="22"/>
          <w:szCs w:val="22"/>
        </w:rPr>
        <w:lastRenderedPageBreak/>
        <w:t>Figure S</w:t>
      </w:r>
      <w:r>
        <w:rPr>
          <w:rFonts w:ascii="Arial" w:hAnsi="Arial" w:cs="Arial"/>
          <w:b/>
          <w:sz w:val="22"/>
          <w:szCs w:val="22"/>
        </w:rPr>
        <w:t>8</w:t>
      </w:r>
      <w:r w:rsidRPr="00FA7585">
        <w:rPr>
          <w:rFonts w:ascii="Arial" w:hAnsi="Arial" w:cs="Arial"/>
          <w:b/>
          <w:sz w:val="22"/>
          <w:szCs w:val="22"/>
        </w:rPr>
        <w:t>. Power to detect differentially methylated sites (between lifelong wild-feeding and Lodge individuals) increases with sample size.</w:t>
      </w:r>
      <w:r w:rsidRPr="00FA7585">
        <w:rPr>
          <w:rFonts w:ascii="Arial" w:hAnsi="Arial" w:cs="Arial"/>
          <w:sz w:val="22"/>
          <w:szCs w:val="22"/>
        </w:rPr>
        <w:t xml:space="preserve"> </w:t>
      </w:r>
      <w:r>
        <w:rPr>
          <w:rFonts w:ascii="Arial" w:hAnsi="Arial" w:cs="Arial"/>
          <w:noProof/>
          <w:sz w:val="22"/>
          <w:szCs w:val="22"/>
        </w:rPr>
        <w:t xml:space="preserve">Using data from individuals that spent all or the majority of their lives in one resource base condition (either wild-feeding or Lodge: n=61), we estimated the relationship between sample size and power to detect putative true positive sites (x-axis = sample size; y-axis = proportion of putative true positive sites detected at a 10% FDR). Results are stratified by quartiles of effect sizes (e.g., Q1 shows putative true positive sites with effect sizes in the the top 25% of our data set). </w:t>
      </w:r>
      <w:r>
        <w:rPr>
          <w:rFonts w:ascii="Arial" w:hAnsi="Arial" w:cs="Arial"/>
          <w:sz w:val="22"/>
          <w:szCs w:val="22"/>
        </w:rPr>
        <w:t>There appear to be many true resource base-associated sites in our data set that do not pass genome-wide significance, especially for small effect sizes</w:t>
      </w:r>
      <w:r w:rsidRPr="003D3256">
        <w:rPr>
          <w:rFonts w:ascii="Arial" w:hAnsi="Arial" w:cs="Arial"/>
          <w:sz w:val="22"/>
          <w:szCs w:val="22"/>
        </w:rPr>
        <w:t xml:space="preserve">. </w:t>
      </w:r>
    </w:p>
    <w:p w14:paraId="2EC33921" w14:textId="77777777" w:rsidR="000F7048" w:rsidRPr="00073656" w:rsidRDefault="000F7048" w:rsidP="000F7048">
      <w:pPr>
        <w:rPr>
          <w:rFonts w:ascii="Arial" w:eastAsiaTheme="majorEastAsia" w:hAnsi="Arial" w:cs="Arial"/>
          <w:b/>
          <w:bCs/>
          <w:sz w:val="22"/>
          <w:szCs w:val="22"/>
        </w:rPr>
      </w:pPr>
      <w:r w:rsidRPr="00FA7585">
        <w:rPr>
          <w:rFonts w:ascii="Arial" w:hAnsi="Arial" w:cs="Arial"/>
          <w:noProof/>
          <w:sz w:val="22"/>
          <w:szCs w:val="22"/>
        </w:rPr>
        <w:drawing>
          <wp:inline distT="0" distB="0" distL="0" distR="0" wp14:anchorId="559542CC" wp14:editId="5A3073A9">
            <wp:extent cx="5481598" cy="5002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8741"/>
                    <a:stretch/>
                  </pic:blipFill>
                  <pic:spPr bwMode="auto">
                    <a:xfrm>
                      <a:off x="0" y="0"/>
                      <a:ext cx="5482179" cy="5002979"/>
                    </a:xfrm>
                    <a:prstGeom prst="rect">
                      <a:avLst/>
                    </a:prstGeom>
                    <a:noFill/>
                    <a:ln>
                      <a:noFill/>
                    </a:ln>
                    <a:extLst>
                      <a:ext uri="{53640926-AAD7-44d8-BBD7-CCE9431645EC}">
                        <a14:shadowObscured xmlns:a14="http://schemas.microsoft.com/office/drawing/2010/main"/>
                      </a:ext>
                    </a:extLst>
                  </pic:spPr>
                </pic:pic>
              </a:graphicData>
            </a:graphic>
          </wp:inline>
        </w:drawing>
      </w:r>
      <w:r w:rsidRPr="00EF6DA3">
        <w:rPr>
          <w:rFonts w:ascii="Arial" w:hAnsi="Arial" w:cs="Arial"/>
          <w:sz w:val="22"/>
          <w:szCs w:val="22"/>
        </w:rPr>
        <w:t xml:space="preserve"> </w:t>
      </w:r>
      <w:r w:rsidRPr="00FA7585">
        <w:rPr>
          <w:rFonts w:ascii="Arial" w:hAnsi="Arial" w:cs="Arial"/>
          <w:sz w:val="22"/>
          <w:szCs w:val="22"/>
        </w:rPr>
        <w:br w:type="page"/>
      </w:r>
    </w:p>
    <w:p w14:paraId="12737824" w14:textId="77777777" w:rsidR="000F7048" w:rsidRPr="00A50C1F" w:rsidRDefault="000F7048" w:rsidP="000F7048">
      <w:pPr>
        <w:pStyle w:val="Heading1"/>
        <w:spacing w:line="240" w:lineRule="auto"/>
      </w:pPr>
      <w:bookmarkStart w:id="45" w:name="_Toc306792090"/>
      <w:bookmarkStart w:id="46" w:name="_Toc306797761"/>
      <w:r w:rsidRPr="009834F3">
        <w:lastRenderedPageBreak/>
        <w:t xml:space="preserve">Figure </w:t>
      </w:r>
      <w:r>
        <w:t>S9</w:t>
      </w:r>
      <w:r w:rsidRPr="009834F3">
        <w:t xml:space="preserve">. Magnitude of the effect of </w:t>
      </w:r>
      <w:r>
        <w:t>resource availability</w:t>
      </w:r>
      <w:r w:rsidRPr="009834F3">
        <w:t xml:space="preserve"> on DNA methylation levels in different genomic compartments. </w:t>
      </w:r>
      <w:r w:rsidRPr="00A50C1F">
        <w:rPr>
          <w:b w:val="0"/>
        </w:rPr>
        <w:t xml:space="preserve">The cumulative distribution function is shown for betas (effect sizes) generated by MACAU. Each line represents the distribution of betas associated with the effect of </w:t>
      </w:r>
      <w:r>
        <w:rPr>
          <w:b w:val="0"/>
        </w:rPr>
        <w:t>resource base on DNA methylation levels in a given genomic compartment. Only CpG sites with a significant effect of resource base (10% FDR) are shown. If the direction of the effect of resource base was random (i.e., methylation levels increased in Lodge versus wild animals with equal probability), we would expect all lines to pass through the intersection of the black dotted lines (at x = 0 and y = 0.5). Instead, promoters and enhancers are somewhat more likely to show increased methylation in Lodge animals, while all other regions are more likely to show decreased methylation in Lodge animals.</w:t>
      </w:r>
      <w:bookmarkEnd w:id="45"/>
      <w:bookmarkEnd w:id="46"/>
    </w:p>
    <w:p w14:paraId="72D4A5B0" w14:textId="77777777" w:rsidR="000F7048" w:rsidRPr="003C19CC" w:rsidRDefault="000F7048" w:rsidP="000F7048">
      <w:pPr>
        <w:rPr>
          <w:rFonts w:ascii="Arial" w:hAnsi="Arial" w:cs="Arial"/>
          <w:b/>
          <w:sz w:val="22"/>
          <w:szCs w:val="22"/>
        </w:rPr>
      </w:pPr>
      <w:r>
        <w:rPr>
          <w:rFonts w:ascii="Arial" w:hAnsi="Arial" w:cs="Arial"/>
          <w:b/>
          <w:noProof/>
          <w:sz w:val="22"/>
          <w:szCs w:val="22"/>
        </w:rPr>
        <w:drawing>
          <wp:inline distT="0" distB="0" distL="0" distR="0" wp14:anchorId="0FD1F549" wp14:editId="04BBB1A9">
            <wp:extent cx="5715000" cy="51926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_figures.pdf"/>
                    <pic:cNvPicPr/>
                  </pic:nvPicPr>
                  <pic:blipFill rotWithShape="1">
                    <a:blip r:embed="rId15">
                      <a:extLst>
                        <a:ext uri="{28A0092B-C50C-407E-A947-70E740481C1C}">
                          <a14:useLocalDpi xmlns:a14="http://schemas.microsoft.com/office/drawing/2010/main" val="0"/>
                        </a:ext>
                      </a:extLst>
                    </a:blip>
                    <a:srcRect l="15195" t="5317" r="14143" b="9077"/>
                    <a:stretch/>
                  </pic:blipFill>
                  <pic:spPr bwMode="auto">
                    <a:xfrm>
                      <a:off x="0" y="0"/>
                      <a:ext cx="5716419" cy="5193950"/>
                    </a:xfrm>
                    <a:prstGeom prst="rect">
                      <a:avLst/>
                    </a:prstGeom>
                    <a:ln>
                      <a:noFill/>
                    </a:ln>
                    <a:extLst>
                      <a:ext uri="{53640926-AAD7-44d8-BBD7-CCE9431645EC}">
                        <a14:shadowObscured xmlns:a14="http://schemas.microsoft.com/office/drawing/2010/main"/>
                      </a:ext>
                    </a:extLst>
                  </pic:spPr>
                </pic:pic>
              </a:graphicData>
            </a:graphic>
          </wp:inline>
        </w:drawing>
      </w:r>
      <w:r w:rsidRPr="00A50C1F">
        <w:rPr>
          <w:rFonts w:ascii="Arial" w:hAnsi="Arial" w:cs="Arial"/>
          <w:b/>
          <w:sz w:val="22"/>
          <w:szCs w:val="22"/>
        </w:rPr>
        <w:br w:type="page"/>
      </w:r>
      <w:r w:rsidRPr="003C19CC">
        <w:rPr>
          <w:rFonts w:ascii="Arial" w:hAnsi="Arial" w:cs="Arial"/>
          <w:b/>
          <w:sz w:val="22"/>
          <w:szCs w:val="22"/>
        </w:rPr>
        <w:lastRenderedPageBreak/>
        <w:t xml:space="preserve">Figure S10. Cell type proportions </w:t>
      </w:r>
      <w:r>
        <w:rPr>
          <w:rFonts w:ascii="Arial" w:hAnsi="Arial" w:cs="Arial"/>
          <w:b/>
          <w:sz w:val="22"/>
          <w:szCs w:val="22"/>
        </w:rPr>
        <w:t>did</w:t>
      </w:r>
      <w:r w:rsidRPr="003C19CC">
        <w:rPr>
          <w:rFonts w:ascii="Arial" w:hAnsi="Arial" w:cs="Arial"/>
          <w:b/>
          <w:sz w:val="22"/>
          <w:szCs w:val="22"/>
        </w:rPr>
        <w:t xml:space="preserve"> not significantly differ between wild-feeding and Lodge individuals. </w:t>
      </w:r>
      <w:r w:rsidRPr="003C19CC">
        <w:rPr>
          <w:rFonts w:ascii="Arial" w:hAnsi="Arial" w:cs="Arial"/>
          <w:sz w:val="22"/>
          <w:szCs w:val="22"/>
        </w:rPr>
        <w:t xml:space="preserve">The distribution of cell-type proportions, obtained from manual counts of Giemsa-stained blood smears, are shown below (n = 15 Lodge individuals and 25 wild-feeding individuals). For the five major cell types we measured, cell type proportions </w:t>
      </w:r>
      <w:r>
        <w:rPr>
          <w:rFonts w:ascii="Arial" w:hAnsi="Arial" w:cs="Arial"/>
          <w:sz w:val="22"/>
          <w:szCs w:val="22"/>
        </w:rPr>
        <w:t>did</w:t>
      </w:r>
      <w:r w:rsidRPr="003C19CC">
        <w:rPr>
          <w:rFonts w:ascii="Arial" w:hAnsi="Arial" w:cs="Arial"/>
          <w:sz w:val="22"/>
          <w:szCs w:val="22"/>
        </w:rPr>
        <w:t xml:space="preserve"> not differ between the two </w:t>
      </w:r>
      <w:r>
        <w:rPr>
          <w:rFonts w:ascii="Arial" w:hAnsi="Arial" w:cs="Arial"/>
          <w:sz w:val="22"/>
          <w:szCs w:val="22"/>
        </w:rPr>
        <w:t>resource base</w:t>
      </w:r>
      <w:r w:rsidRPr="003C19CC">
        <w:rPr>
          <w:rFonts w:ascii="Arial" w:hAnsi="Arial" w:cs="Arial"/>
          <w:sz w:val="22"/>
          <w:szCs w:val="22"/>
        </w:rPr>
        <w:t xml:space="preserve">s (p-values are from a generalized linear model with a binomial link function, controlling for age, sex, and the identity of the </w:t>
      </w:r>
      <w:r>
        <w:rPr>
          <w:rFonts w:ascii="Arial" w:hAnsi="Arial" w:cs="Arial"/>
          <w:sz w:val="22"/>
          <w:szCs w:val="22"/>
        </w:rPr>
        <w:t xml:space="preserve">individual who scored the </w:t>
      </w:r>
      <w:r w:rsidRPr="003C19CC">
        <w:rPr>
          <w:rFonts w:ascii="Arial" w:hAnsi="Arial" w:cs="Arial"/>
          <w:sz w:val="22"/>
          <w:szCs w:val="22"/>
        </w:rPr>
        <w:t>blood slide).</w:t>
      </w:r>
      <w:r w:rsidRPr="003C19CC">
        <w:rPr>
          <w:rFonts w:ascii="Arial" w:hAnsi="Arial" w:cs="Arial"/>
          <w:b/>
          <w:sz w:val="22"/>
          <w:szCs w:val="22"/>
        </w:rPr>
        <w:t xml:space="preserve"> </w:t>
      </w:r>
      <w:r>
        <w:rPr>
          <w:rFonts w:ascii="Arial" w:hAnsi="Arial" w:cs="Arial"/>
          <w:sz w:val="22"/>
          <w:szCs w:val="22"/>
        </w:rPr>
        <w:t>Note that lymphocytes and neutrophils make up by far the largest proportion of blood cell types in whole blood.</w:t>
      </w:r>
      <w:r w:rsidRPr="003C19CC">
        <w:rPr>
          <w:rFonts w:ascii="Arial" w:hAnsi="Arial" w:cs="Arial"/>
          <w:b/>
          <w:sz w:val="22"/>
          <w:szCs w:val="22"/>
        </w:rPr>
        <w:t xml:space="preserve"> </w:t>
      </w:r>
    </w:p>
    <w:p w14:paraId="62E53C02" w14:textId="77777777" w:rsidR="000F7048" w:rsidRPr="00A50C1F" w:rsidRDefault="000F7048" w:rsidP="000F7048">
      <w:pPr>
        <w:rPr>
          <w:rFonts w:ascii="Arial" w:hAnsi="Arial" w:cs="Arial"/>
          <w:sz w:val="22"/>
          <w:szCs w:val="22"/>
        </w:rPr>
      </w:pPr>
    </w:p>
    <w:p w14:paraId="0F3C084C" w14:textId="77777777" w:rsidR="000F7048" w:rsidRPr="00A50C1F" w:rsidRDefault="000F7048" w:rsidP="000F7048">
      <w:pPr>
        <w:rPr>
          <w:rFonts w:ascii="Arial" w:hAnsi="Arial" w:cs="Arial"/>
          <w:sz w:val="22"/>
          <w:szCs w:val="22"/>
        </w:rPr>
      </w:pPr>
      <w:r>
        <w:rPr>
          <w:rFonts w:ascii="Arial" w:hAnsi="Arial" w:cs="Arial"/>
          <w:noProof/>
          <w:sz w:val="22"/>
          <w:szCs w:val="22"/>
        </w:rPr>
        <w:drawing>
          <wp:inline distT="0" distB="0" distL="0" distR="0" wp14:anchorId="2F9B6674" wp14:editId="77B6439C">
            <wp:extent cx="5615891" cy="58454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_figures.pdf"/>
                    <pic:cNvPicPr/>
                  </pic:nvPicPr>
                  <pic:blipFill rotWithShape="1">
                    <a:blip r:embed="rId16">
                      <a:extLst>
                        <a:ext uri="{28A0092B-C50C-407E-A947-70E740481C1C}">
                          <a14:useLocalDpi xmlns:a14="http://schemas.microsoft.com/office/drawing/2010/main" val="0"/>
                        </a:ext>
                      </a:extLst>
                    </a:blip>
                    <a:srcRect l="13054" t="1865" r="16236"/>
                    <a:stretch/>
                  </pic:blipFill>
                  <pic:spPr bwMode="auto">
                    <a:xfrm>
                      <a:off x="0" y="0"/>
                      <a:ext cx="5616900" cy="5846514"/>
                    </a:xfrm>
                    <a:prstGeom prst="rect">
                      <a:avLst/>
                    </a:prstGeom>
                    <a:ln>
                      <a:noFill/>
                    </a:ln>
                    <a:extLst>
                      <a:ext uri="{53640926-AAD7-44d8-BBD7-CCE9431645EC}">
                        <a14:shadowObscured xmlns:a14="http://schemas.microsoft.com/office/drawing/2010/main"/>
                      </a:ext>
                    </a:extLst>
                  </pic:spPr>
                </pic:pic>
              </a:graphicData>
            </a:graphic>
          </wp:inline>
        </w:drawing>
      </w:r>
    </w:p>
    <w:p w14:paraId="0D1710D9" w14:textId="77777777" w:rsidR="000F7048" w:rsidRDefault="000F7048" w:rsidP="000F7048">
      <w:pPr>
        <w:rPr>
          <w:rStyle w:val="Heading1Char"/>
        </w:rPr>
      </w:pPr>
      <w:r>
        <w:rPr>
          <w:rStyle w:val="Heading1Char"/>
        </w:rPr>
        <w:br w:type="page"/>
      </w:r>
    </w:p>
    <w:p w14:paraId="48EE0203" w14:textId="77777777" w:rsidR="000F7048" w:rsidRDefault="000F7048" w:rsidP="000F7048">
      <w:pPr>
        <w:rPr>
          <w:rFonts w:ascii="Arial" w:hAnsi="Arial" w:cs="Arial"/>
          <w:sz w:val="22"/>
          <w:szCs w:val="22"/>
        </w:rPr>
      </w:pPr>
      <w:r w:rsidRPr="009834F3">
        <w:rPr>
          <w:rStyle w:val="Heading1Char"/>
        </w:rPr>
        <w:lastRenderedPageBreak/>
        <w:t xml:space="preserve">Figure </w:t>
      </w:r>
      <w:r>
        <w:rPr>
          <w:rStyle w:val="Heading1Char"/>
        </w:rPr>
        <w:t>S11</w:t>
      </w:r>
      <w:r w:rsidRPr="009834F3">
        <w:rPr>
          <w:rStyle w:val="Heading1Char"/>
        </w:rPr>
        <w:t xml:space="preserve">. Enrichment of </w:t>
      </w:r>
      <w:r>
        <w:rPr>
          <w:rStyle w:val="Heading1Char"/>
        </w:rPr>
        <w:t>resource base-</w:t>
      </w:r>
      <w:r w:rsidRPr="009834F3">
        <w:rPr>
          <w:rStyle w:val="Heading1Char"/>
        </w:rPr>
        <w:t>associated sites is strongest near genes expressed in whole blood, compared to genes expressed in other tissues.</w:t>
      </w:r>
      <w:r w:rsidRPr="00A50C1F">
        <w:rPr>
          <w:rFonts w:ascii="Arial" w:hAnsi="Arial" w:cs="Arial"/>
          <w:b/>
          <w:sz w:val="22"/>
          <w:szCs w:val="22"/>
        </w:rPr>
        <w:t xml:space="preserve"> </w:t>
      </w:r>
      <w:r>
        <w:rPr>
          <w:rFonts w:ascii="Arial" w:hAnsi="Arial" w:cs="Arial"/>
          <w:sz w:val="22"/>
          <w:szCs w:val="22"/>
        </w:rPr>
        <w:t xml:space="preserve">We report in the main text that differentially methylated sites are enriched near genes expressed in whole blood. This result could be due to targeted regulation of blood-expressed genes, or arise simply because sites affected by diet fall near genes expressed across many tissues. Here, we used tissue specific RNA-seq data from olive baboons to identify genes expressed (FPKM &gt; 1) or unexpressed (FPKM &lt; 1) in a range of tissues </w:t>
      </w:r>
      <w:r>
        <w:rPr>
          <w:rFonts w:ascii="Arial" w:hAnsi="Arial" w:cs="Arial"/>
          <w:sz w:val="22"/>
          <w:szCs w:val="22"/>
        </w:rPr>
        <w:fldChar w:fldCharType="begin" w:fldLock="1"/>
      </w:r>
      <w:r w:rsidR="00F43643">
        <w:rPr>
          <w:rFonts w:ascii="Arial" w:hAnsi="Arial" w:cs="Arial"/>
          <w:sz w:val="22"/>
          <w:szCs w:val="22"/>
        </w:rPr>
        <w:instrText>ADDIN CSL_CITATION { "citationItems" : [ { "id" : "ITEM-1", "itemData" : { "DOI" : "10.1093/nar/gku1110", "ISSN" : "0305-1048", "author" : [ { "dropping-particle" : "", "family" : "Peng", "given" : "X.", "non-dropping-particle" : "", "parse-names" : false, "suffix" : "" }, { "dropping-particle" : "", "family" : "Thierry-Mieg", "given" : "J.", "non-dropping-particle" : "", "parse-names" : false, "suffix" : "" }, { "dropping-particle" : "", "family" : "Thierry-Mieg", "given" : "D.", "non-dropping-particle" : "", "parse-names" : false, "suffix" : "" }, { "dropping-particle" : "", "family" : "Nishida", "given" : "a.", "non-dropping-particle" : "", "parse-names" : false, "suffix" : "" }, { "dropping-particle" : "", "family" : "Pipes", "given" : "L.", "non-dropping-particle" : "", "parse-names" : false, "suffix" : "" }, { "dropping-particle" : "", "family" : "Bozinoski", "given" : "M.", "non-dropping-particle" : "", "parse-names" : false, "suffix" : "" }, { "dropping-particle" : "", "family" : "Thomas", "given" : "M. J.", "non-dropping-particle" : "", "parse-names" : false, "suffix" : "" }, { "dropping-particle" : "", "family" : "Kelly", "given" : "S.", "non-dropping-particle" : "", "parse-names" : false, "suffix" : "" }, { "dropping-particle" : "", "family" : "Weiss", "given" : "J. M.", "non-dropping-particle" : "", "parse-names" : false, "suffix" : "" }, { "dropping-particle" : "", "family" : "Raveendran", "given" : "M.", "non-dropping-particle" : "", "parse-names" : false, "suffix" : "" }, { "dropping-particle" : "", "family" : "Muzny", "given" : "D.", "non-dropping-particle" : "", "parse-names" : false, "suffix" : "" }, { "dropping-particle" : "", "family" : "Gibbs", "given" : "R. a.", "non-dropping-particle" : "", "parse-names" : false, "suffix" : "" }, { "dropping-particle" : "", "family" : "Rogers", "given" : "J.", "non-dropping-particle" : "", "parse-names" : false, "suffix" : "" }, { "dropping-particle" : "", "family" : "Schroth", "given" : "G. P.", "non-dropping-particle" : "", "parse-names" : false, "suffix" : "" }, { "dropping-particle" : "", "family" : "Katze", "given" : "M. G.", "non-dropping-particle" : "", "parse-names" : false, "suffix" : "" }, { "dropping-particle" : "", "family" : "Mason", "given" : "C. E.", "non-dropping-particle" : "", "parse-names" : false, "suffix" : "" } ], "container-title" : "Nucleic Acids Research", "id" : "ITEM-1", "issue" : "D1", "issued" : { "date-parts" : [ [ "2014" ] ] }, "page" : "D737-D742", "title" : "Tissue-specific transcriptome sequencing analysis expands the non-human primate reference transcriptome resource (NHPRTR)", "type" : "article-journal", "volume" : "43" }, "uris" : [ "http://www.mendeley.com/documents/?uuid=71dd5242-4ce7-4761-973c-0faeedadb19d" ] } ], "mendeley" : { "formattedCitation" : "[28]", "plainTextFormattedCitation" : "[28]", "previouslyFormattedCitation" : "[28]" }, "properties" : { "noteIndex" : 0 }, "schema" : "https://github.com/citation-style-language/schema/raw/master/csl-citation.json" }</w:instrText>
      </w:r>
      <w:r>
        <w:rPr>
          <w:rFonts w:ascii="Arial" w:hAnsi="Arial" w:cs="Arial"/>
          <w:sz w:val="22"/>
          <w:szCs w:val="22"/>
        </w:rPr>
        <w:fldChar w:fldCharType="separate"/>
      </w:r>
      <w:r w:rsidR="00F43643" w:rsidRPr="00F43643">
        <w:rPr>
          <w:rFonts w:ascii="Arial" w:hAnsi="Arial" w:cs="Arial"/>
          <w:noProof/>
          <w:sz w:val="22"/>
          <w:szCs w:val="22"/>
        </w:rPr>
        <w:t>[28]</w:t>
      </w:r>
      <w:r>
        <w:rPr>
          <w:rFonts w:ascii="Arial" w:hAnsi="Arial" w:cs="Arial"/>
          <w:sz w:val="22"/>
          <w:szCs w:val="22"/>
        </w:rPr>
        <w:fldChar w:fldCharType="end"/>
      </w:r>
      <w:r>
        <w:rPr>
          <w:rFonts w:ascii="Arial" w:hAnsi="Arial" w:cs="Arial"/>
          <w:sz w:val="22"/>
          <w:szCs w:val="22"/>
        </w:rPr>
        <w:t xml:space="preserve">. We then asked, for each tissue, whether resource base-associated sites were enriched near expressed genes, using a Fisher’s Exact Test. We considered a CpG site to be near a gene if it fell in the gene body or within 10kb of the transcription start or end sites. The FET odds ratio is plotted for each tissue. Differentially methylated sites are significantly biased towards genes expressed in all tissues except skeletal muscle (at a nominal p-value of 0.05), but are most strongly biased for whole blood. </w:t>
      </w:r>
    </w:p>
    <w:p w14:paraId="6DD01B3B" w14:textId="77777777" w:rsidR="000F7048" w:rsidRPr="00A50C1F" w:rsidRDefault="000F7048" w:rsidP="000F7048">
      <w:pPr>
        <w:rPr>
          <w:rFonts w:ascii="Arial" w:hAnsi="Arial" w:cs="Arial"/>
          <w:sz w:val="22"/>
          <w:szCs w:val="22"/>
        </w:rPr>
      </w:pPr>
      <w:r w:rsidRPr="008E4163">
        <w:rPr>
          <w:rFonts w:ascii="Arial" w:hAnsi="Arial" w:cs="Arial"/>
          <w:noProof/>
          <w:sz w:val="22"/>
          <w:szCs w:val="22"/>
        </w:rPr>
        <w:t xml:space="preserve"> </w:t>
      </w:r>
      <w:r w:rsidRPr="00A50C1F">
        <w:rPr>
          <w:rFonts w:ascii="Arial" w:hAnsi="Arial" w:cs="Arial"/>
          <w:noProof/>
          <w:sz w:val="22"/>
          <w:szCs w:val="22"/>
        </w:rPr>
        <w:drawing>
          <wp:inline distT="0" distB="0" distL="0" distR="0" wp14:anchorId="264C9EDA" wp14:editId="6476C951">
            <wp:extent cx="4645203" cy="4412942"/>
            <wp:effectExtent l="0" t="0" r="0" b="0"/>
            <wp:docPr id="22" name="Picture 22" descr="Macintosh HD:Users:amandalea:Desktop:May2015_final_analyses:tissue_exp_genes:odds_rat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andalea:Desktop:May2015_final_analyses:tissue_exp_genes:odds_ratio.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48443" t="7959" r="6573" b="49306"/>
                    <a:stretch/>
                  </pic:blipFill>
                  <pic:spPr bwMode="auto">
                    <a:xfrm>
                      <a:off x="0" y="0"/>
                      <a:ext cx="4646281" cy="4413966"/>
                    </a:xfrm>
                    <a:prstGeom prst="rect">
                      <a:avLst/>
                    </a:prstGeom>
                    <a:noFill/>
                    <a:ln>
                      <a:noFill/>
                    </a:ln>
                    <a:extLst>
                      <a:ext uri="{53640926-AAD7-44d8-BBD7-CCE9431645EC}">
                        <a14:shadowObscured xmlns:a14="http://schemas.microsoft.com/office/drawing/2010/main"/>
                      </a:ext>
                    </a:extLst>
                  </pic:spPr>
                </pic:pic>
              </a:graphicData>
            </a:graphic>
          </wp:inline>
        </w:drawing>
      </w:r>
    </w:p>
    <w:p w14:paraId="63B1A715" w14:textId="77777777" w:rsidR="000F7048" w:rsidRPr="00A50C1F" w:rsidRDefault="000F7048" w:rsidP="000F7048">
      <w:pPr>
        <w:rPr>
          <w:rFonts w:ascii="Arial" w:hAnsi="Arial" w:cs="Arial"/>
          <w:sz w:val="22"/>
          <w:szCs w:val="22"/>
        </w:rPr>
      </w:pPr>
      <w:r w:rsidRPr="00A50C1F">
        <w:rPr>
          <w:rFonts w:ascii="Arial" w:hAnsi="Arial" w:cs="Arial"/>
          <w:sz w:val="22"/>
          <w:szCs w:val="22"/>
        </w:rPr>
        <w:br w:type="page"/>
      </w:r>
    </w:p>
    <w:p w14:paraId="3163CC30" w14:textId="77777777" w:rsidR="000F7048" w:rsidRDefault="000F7048" w:rsidP="000F7048">
      <w:pPr>
        <w:pStyle w:val="Heading1"/>
        <w:spacing w:line="240" w:lineRule="auto"/>
      </w:pPr>
      <w:bookmarkStart w:id="47" w:name="_Toc306792091"/>
      <w:bookmarkStart w:id="48" w:name="_Toc306797762"/>
      <w:r w:rsidRPr="00A50C1F">
        <w:lastRenderedPageBreak/>
        <w:t xml:space="preserve">Table </w:t>
      </w:r>
      <w:r>
        <w:t>S1</w:t>
      </w:r>
      <w:r w:rsidRPr="00A50C1F">
        <w:t xml:space="preserve">. </w:t>
      </w:r>
      <w:r>
        <w:t>Information about males that switched between resource base conditions (n=8 baboons)</w:t>
      </w:r>
      <w:r w:rsidRPr="00A50C1F">
        <w:t>.</w:t>
      </w:r>
      <w:bookmarkEnd w:id="47"/>
      <w:bookmarkEnd w:id="48"/>
    </w:p>
    <w:p w14:paraId="5C9D1511" w14:textId="77777777" w:rsidR="000F7048" w:rsidRPr="00BC609D" w:rsidRDefault="000F7048" w:rsidP="000F7048"/>
    <w:tbl>
      <w:tblPr>
        <w:tblStyle w:val="LightShading"/>
        <w:tblW w:w="0" w:type="auto"/>
        <w:tblLook w:val="04A0" w:firstRow="1" w:lastRow="0" w:firstColumn="1" w:lastColumn="0" w:noHBand="0" w:noVBand="1"/>
      </w:tblPr>
      <w:tblGrid>
        <w:gridCol w:w="1183"/>
        <w:gridCol w:w="1985"/>
        <w:gridCol w:w="3150"/>
        <w:gridCol w:w="2880"/>
      </w:tblGrid>
      <w:tr w:rsidR="000F7048" w:rsidRPr="00BC609D" w14:paraId="03E1F379" w14:textId="77777777" w:rsidTr="003E5F54">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183" w:type="dxa"/>
          </w:tcPr>
          <w:p w14:paraId="113E1FE5" w14:textId="77777777" w:rsidR="000F7048" w:rsidRPr="00BC609D" w:rsidRDefault="000F7048" w:rsidP="00F43643">
            <w:pPr>
              <w:jc w:val="center"/>
              <w:rPr>
                <w:rFonts w:ascii="Arial" w:hAnsi="Arial" w:cs="Arial"/>
                <w:b w:val="0"/>
                <w:bCs w:val="0"/>
              </w:rPr>
            </w:pPr>
            <w:r w:rsidRPr="00BC609D">
              <w:rPr>
                <w:rFonts w:ascii="Arial" w:hAnsi="Arial" w:cs="Arial"/>
              </w:rPr>
              <w:t>Individual</w:t>
            </w:r>
          </w:p>
        </w:tc>
        <w:tc>
          <w:tcPr>
            <w:tcW w:w="1985" w:type="dxa"/>
          </w:tcPr>
          <w:p w14:paraId="175A4B31" w14:textId="77777777" w:rsidR="000F7048" w:rsidRPr="00BC609D"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C609D">
              <w:rPr>
                <w:rFonts w:ascii="Arial" w:hAnsi="Arial" w:cs="Arial"/>
              </w:rPr>
              <w:t>Resource base (natal/adult)</w:t>
            </w:r>
            <w:r w:rsidRPr="00BC609D">
              <w:rPr>
                <w:rFonts w:ascii="Arial" w:hAnsi="Arial" w:cs="Arial"/>
                <w:vertAlign w:val="superscript"/>
              </w:rPr>
              <w:t>1</w:t>
            </w:r>
          </w:p>
        </w:tc>
        <w:tc>
          <w:tcPr>
            <w:tcW w:w="3150" w:type="dxa"/>
          </w:tcPr>
          <w:p w14:paraId="7E0356B6" w14:textId="77777777" w:rsidR="000F7048" w:rsidRPr="00BC609D"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Years</w:t>
            </w:r>
            <w:r w:rsidRPr="00BC609D">
              <w:rPr>
                <w:rFonts w:ascii="Arial" w:hAnsi="Arial" w:cs="Arial"/>
              </w:rPr>
              <w:t xml:space="preserve"> in </w:t>
            </w:r>
            <w:r>
              <w:rPr>
                <w:rFonts w:ascii="Arial" w:hAnsi="Arial" w:cs="Arial"/>
              </w:rPr>
              <w:t>post-dispersal</w:t>
            </w:r>
            <w:r w:rsidRPr="00BC609D">
              <w:rPr>
                <w:rFonts w:ascii="Arial" w:hAnsi="Arial" w:cs="Arial"/>
              </w:rPr>
              <w:t xml:space="preserve"> resource base</w:t>
            </w:r>
            <w:r>
              <w:rPr>
                <w:rFonts w:ascii="Arial" w:hAnsi="Arial" w:cs="Arial"/>
              </w:rPr>
              <w:t xml:space="preserve"> condition</w:t>
            </w:r>
            <w:r w:rsidRPr="00BC609D">
              <w:rPr>
                <w:rFonts w:ascii="Arial" w:hAnsi="Arial" w:cs="Arial"/>
                <w:vertAlign w:val="superscript"/>
              </w:rPr>
              <w:t>2</w:t>
            </w:r>
          </w:p>
        </w:tc>
        <w:tc>
          <w:tcPr>
            <w:tcW w:w="2880" w:type="dxa"/>
          </w:tcPr>
          <w:p w14:paraId="612281FF" w14:textId="77777777" w:rsidR="000F7048" w:rsidRPr="00BC609D"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Certainty level for years in post-dispersal</w:t>
            </w:r>
            <w:r w:rsidRPr="00BC609D">
              <w:rPr>
                <w:rFonts w:ascii="Arial" w:hAnsi="Arial" w:cs="Arial"/>
              </w:rPr>
              <w:t xml:space="preserve"> </w:t>
            </w:r>
            <w:r>
              <w:rPr>
                <w:rFonts w:ascii="Arial" w:hAnsi="Arial" w:cs="Arial"/>
              </w:rPr>
              <w:t>condition</w:t>
            </w:r>
            <w:r w:rsidRPr="00AD421A">
              <w:rPr>
                <w:rFonts w:ascii="Arial" w:hAnsi="Arial" w:cs="Arial"/>
                <w:vertAlign w:val="superscript"/>
              </w:rPr>
              <w:t>3</w:t>
            </w:r>
          </w:p>
        </w:tc>
      </w:tr>
      <w:tr w:rsidR="000F7048" w:rsidRPr="00BC609D" w14:paraId="62CB4F77" w14:textId="77777777" w:rsidTr="003E5F5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83" w:type="dxa"/>
          </w:tcPr>
          <w:p w14:paraId="0E4628A6" w14:textId="77777777" w:rsidR="000F7048" w:rsidRPr="00AD421A" w:rsidRDefault="000F7048" w:rsidP="00F43643">
            <w:pPr>
              <w:rPr>
                <w:rFonts w:ascii="Arial" w:hAnsi="Arial" w:cs="Arial"/>
                <w:b w:val="0"/>
              </w:rPr>
            </w:pPr>
            <w:r w:rsidRPr="00AD421A">
              <w:rPr>
                <w:rFonts w:ascii="Arial" w:eastAsia="Times New Roman" w:hAnsi="Arial" w:cs="Arial"/>
                <w:color w:val="000000"/>
              </w:rPr>
              <w:t>AMB_01</w:t>
            </w:r>
          </w:p>
        </w:tc>
        <w:tc>
          <w:tcPr>
            <w:tcW w:w="1985" w:type="dxa"/>
          </w:tcPr>
          <w:p w14:paraId="34922AEB"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eastAsia="Times New Roman" w:hAnsi="Arial" w:cs="Arial"/>
                <w:color w:val="000000"/>
              </w:rPr>
              <w:t>L</w:t>
            </w:r>
            <w:r>
              <w:rPr>
                <w:rFonts w:ascii="Arial" w:eastAsia="Times New Roman" w:hAnsi="Arial" w:cs="Arial"/>
                <w:color w:val="000000"/>
              </w:rPr>
              <w:t>/</w:t>
            </w:r>
            <w:r w:rsidRPr="00BC609D">
              <w:rPr>
                <w:rFonts w:ascii="Arial" w:eastAsia="Times New Roman" w:hAnsi="Arial" w:cs="Arial"/>
                <w:color w:val="000000"/>
              </w:rPr>
              <w:t>W</w:t>
            </w:r>
          </w:p>
        </w:tc>
        <w:tc>
          <w:tcPr>
            <w:tcW w:w="3150" w:type="dxa"/>
          </w:tcPr>
          <w:p w14:paraId="66853F34"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eastAsia="Times New Roman" w:hAnsi="Arial" w:cs="Arial"/>
                <w:color w:val="000000"/>
              </w:rPr>
              <w:t>3.07</w:t>
            </w:r>
          </w:p>
        </w:tc>
        <w:tc>
          <w:tcPr>
            <w:tcW w:w="2880" w:type="dxa"/>
          </w:tcPr>
          <w:p w14:paraId="20D692D2"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hAnsi="Arial" w:cs="Arial"/>
              </w:rPr>
              <w:t>Known</w:t>
            </w:r>
          </w:p>
        </w:tc>
      </w:tr>
      <w:tr w:rsidR="000F7048" w:rsidRPr="00BC609D" w14:paraId="5F345084" w14:textId="77777777" w:rsidTr="003E5F54">
        <w:trPr>
          <w:trHeight w:val="232"/>
        </w:trPr>
        <w:tc>
          <w:tcPr>
            <w:cnfStyle w:val="001000000000" w:firstRow="0" w:lastRow="0" w:firstColumn="1" w:lastColumn="0" w:oddVBand="0" w:evenVBand="0" w:oddHBand="0" w:evenHBand="0" w:firstRowFirstColumn="0" w:firstRowLastColumn="0" w:lastRowFirstColumn="0" w:lastRowLastColumn="0"/>
            <w:tcW w:w="1183" w:type="dxa"/>
          </w:tcPr>
          <w:p w14:paraId="2CB46585" w14:textId="77777777" w:rsidR="000F7048" w:rsidRPr="00AD421A" w:rsidRDefault="000F7048" w:rsidP="00F43643">
            <w:pPr>
              <w:rPr>
                <w:rFonts w:ascii="Arial" w:hAnsi="Arial" w:cs="Arial"/>
                <w:b w:val="0"/>
              </w:rPr>
            </w:pPr>
            <w:r w:rsidRPr="00AD421A">
              <w:rPr>
                <w:rFonts w:ascii="Arial" w:eastAsia="Times New Roman" w:hAnsi="Arial" w:cs="Arial"/>
                <w:color w:val="000000"/>
              </w:rPr>
              <w:t>AMB_05</w:t>
            </w:r>
          </w:p>
        </w:tc>
        <w:tc>
          <w:tcPr>
            <w:tcW w:w="1985" w:type="dxa"/>
          </w:tcPr>
          <w:p w14:paraId="1FA75844"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609D">
              <w:rPr>
                <w:rFonts w:ascii="Arial" w:eastAsia="Times New Roman" w:hAnsi="Arial" w:cs="Arial"/>
                <w:color w:val="000000"/>
              </w:rPr>
              <w:t>W</w:t>
            </w:r>
            <w:r>
              <w:rPr>
                <w:rFonts w:ascii="Arial" w:eastAsia="Times New Roman" w:hAnsi="Arial" w:cs="Arial"/>
                <w:color w:val="000000"/>
              </w:rPr>
              <w:t>/</w:t>
            </w:r>
            <w:r w:rsidRPr="00BC609D">
              <w:rPr>
                <w:rFonts w:ascii="Arial" w:eastAsia="Times New Roman" w:hAnsi="Arial" w:cs="Arial"/>
                <w:color w:val="000000"/>
              </w:rPr>
              <w:t>L</w:t>
            </w:r>
          </w:p>
        </w:tc>
        <w:tc>
          <w:tcPr>
            <w:tcW w:w="3150" w:type="dxa"/>
          </w:tcPr>
          <w:p w14:paraId="71F1DDF9"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609D">
              <w:rPr>
                <w:rFonts w:ascii="Arial" w:eastAsia="Times New Roman" w:hAnsi="Arial" w:cs="Arial"/>
                <w:color w:val="000000"/>
              </w:rPr>
              <w:t>4.90</w:t>
            </w:r>
          </w:p>
        </w:tc>
        <w:tc>
          <w:tcPr>
            <w:tcW w:w="2880" w:type="dxa"/>
          </w:tcPr>
          <w:p w14:paraId="66DD9F47"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Lower bound</w:t>
            </w:r>
          </w:p>
        </w:tc>
      </w:tr>
      <w:tr w:rsidR="000F7048" w:rsidRPr="00BC609D" w14:paraId="53449509" w14:textId="77777777" w:rsidTr="003E5F54">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183" w:type="dxa"/>
          </w:tcPr>
          <w:p w14:paraId="7501BD1A" w14:textId="77777777" w:rsidR="000F7048" w:rsidRPr="00AD421A" w:rsidRDefault="000F7048" w:rsidP="00F43643">
            <w:pPr>
              <w:rPr>
                <w:rFonts w:ascii="Arial" w:hAnsi="Arial" w:cs="Arial"/>
                <w:b w:val="0"/>
              </w:rPr>
            </w:pPr>
            <w:r w:rsidRPr="00AD421A">
              <w:rPr>
                <w:rFonts w:ascii="Arial" w:eastAsia="Times New Roman" w:hAnsi="Arial" w:cs="Arial"/>
                <w:color w:val="000000"/>
              </w:rPr>
              <w:t>AMB_17</w:t>
            </w:r>
          </w:p>
        </w:tc>
        <w:tc>
          <w:tcPr>
            <w:tcW w:w="1985" w:type="dxa"/>
          </w:tcPr>
          <w:p w14:paraId="5EC096E3"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eastAsia="Times New Roman" w:hAnsi="Arial" w:cs="Arial"/>
                <w:color w:val="000000"/>
              </w:rPr>
              <w:t>L</w:t>
            </w:r>
            <w:r>
              <w:rPr>
                <w:rFonts w:ascii="Arial" w:eastAsia="Times New Roman" w:hAnsi="Arial" w:cs="Arial"/>
                <w:color w:val="000000"/>
              </w:rPr>
              <w:t>/</w:t>
            </w:r>
            <w:r w:rsidRPr="00BC609D">
              <w:rPr>
                <w:rFonts w:ascii="Arial" w:eastAsia="Times New Roman" w:hAnsi="Arial" w:cs="Arial"/>
                <w:color w:val="000000"/>
              </w:rPr>
              <w:t>W</w:t>
            </w:r>
          </w:p>
        </w:tc>
        <w:tc>
          <w:tcPr>
            <w:tcW w:w="3150" w:type="dxa"/>
          </w:tcPr>
          <w:p w14:paraId="1D6979D4"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eastAsia="Times New Roman" w:hAnsi="Arial" w:cs="Arial"/>
                <w:color w:val="000000"/>
              </w:rPr>
              <w:t>2.22</w:t>
            </w:r>
          </w:p>
        </w:tc>
        <w:tc>
          <w:tcPr>
            <w:tcW w:w="2880" w:type="dxa"/>
          </w:tcPr>
          <w:p w14:paraId="72737B0D"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hAnsi="Arial" w:cs="Arial"/>
              </w:rPr>
              <w:t>Known</w:t>
            </w:r>
          </w:p>
        </w:tc>
      </w:tr>
      <w:tr w:rsidR="000F7048" w:rsidRPr="00BC609D" w14:paraId="78D1CCDF" w14:textId="77777777" w:rsidTr="003E5F54">
        <w:trPr>
          <w:trHeight w:val="213"/>
        </w:trPr>
        <w:tc>
          <w:tcPr>
            <w:cnfStyle w:val="001000000000" w:firstRow="0" w:lastRow="0" w:firstColumn="1" w:lastColumn="0" w:oddVBand="0" w:evenVBand="0" w:oddHBand="0" w:evenHBand="0" w:firstRowFirstColumn="0" w:firstRowLastColumn="0" w:lastRowFirstColumn="0" w:lastRowLastColumn="0"/>
            <w:tcW w:w="1183" w:type="dxa"/>
          </w:tcPr>
          <w:p w14:paraId="09166918" w14:textId="77777777" w:rsidR="000F7048" w:rsidRPr="00AD421A" w:rsidRDefault="000F7048" w:rsidP="00F43643">
            <w:pPr>
              <w:rPr>
                <w:rFonts w:ascii="Arial" w:hAnsi="Arial" w:cs="Arial"/>
                <w:b w:val="0"/>
              </w:rPr>
            </w:pPr>
            <w:r w:rsidRPr="00AD421A">
              <w:rPr>
                <w:rFonts w:ascii="Arial" w:eastAsia="Times New Roman" w:hAnsi="Arial" w:cs="Arial"/>
                <w:color w:val="000000"/>
              </w:rPr>
              <w:t>AMB_30</w:t>
            </w:r>
          </w:p>
        </w:tc>
        <w:tc>
          <w:tcPr>
            <w:tcW w:w="1985" w:type="dxa"/>
          </w:tcPr>
          <w:p w14:paraId="3BCA63A2"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609D">
              <w:rPr>
                <w:rFonts w:ascii="Arial" w:eastAsia="Times New Roman" w:hAnsi="Arial" w:cs="Arial"/>
                <w:color w:val="000000"/>
              </w:rPr>
              <w:t>W</w:t>
            </w:r>
            <w:r>
              <w:rPr>
                <w:rFonts w:ascii="Arial" w:eastAsia="Times New Roman" w:hAnsi="Arial" w:cs="Arial"/>
                <w:color w:val="000000"/>
              </w:rPr>
              <w:t>/</w:t>
            </w:r>
            <w:r w:rsidRPr="00BC609D">
              <w:rPr>
                <w:rFonts w:ascii="Arial" w:eastAsia="Times New Roman" w:hAnsi="Arial" w:cs="Arial"/>
                <w:color w:val="000000"/>
              </w:rPr>
              <w:t>L</w:t>
            </w:r>
          </w:p>
        </w:tc>
        <w:tc>
          <w:tcPr>
            <w:tcW w:w="3150" w:type="dxa"/>
          </w:tcPr>
          <w:p w14:paraId="5E5D143E"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609D">
              <w:rPr>
                <w:rFonts w:ascii="Arial" w:eastAsia="Times New Roman" w:hAnsi="Arial" w:cs="Arial"/>
                <w:color w:val="000000"/>
              </w:rPr>
              <w:t>4.92</w:t>
            </w:r>
          </w:p>
        </w:tc>
        <w:tc>
          <w:tcPr>
            <w:tcW w:w="2880" w:type="dxa"/>
          </w:tcPr>
          <w:p w14:paraId="33DE78EC"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Lower bound</w:t>
            </w:r>
          </w:p>
        </w:tc>
      </w:tr>
      <w:tr w:rsidR="000F7048" w:rsidRPr="00BC609D" w14:paraId="0D2A4BDF" w14:textId="77777777" w:rsidTr="003E5F5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83" w:type="dxa"/>
          </w:tcPr>
          <w:p w14:paraId="23AD90BB" w14:textId="77777777" w:rsidR="000F7048" w:rsidRPr="00AD421A" w:rsidRDefault="000F7048" w:rsidP="00F43643">
            <w:pPr>
              <w:rPr>
                <w:rFonts w:ascii="Arial" w:hAnsi="Arial" w:cs="Arial"/>
                <w:b w:val="0"/>
              </w:rPr>
            </w:pPr>
            <w:r w:rsidRPr="00AD421A">
              <w:rPr>
                <w:rFonts w:ascii="Arial" w:eastAsia="Times New Roman" w:hAnsi="Arial" w:cs="Arial"/>
                <w:color w:val="000000"/>
              </w:rPr>
              <w:t>AMB_38</w:t>
            </w:r>
          </w:p>
        </w:tc>
        <w:tc>
          <w:tcPr>
            <w:tcW w:w="1985" w:type="dxa"/>
          </w:tcPr>
          <w:p w14:paraId="54962A60"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eastAsia="Times New Roman" w:hAnsi="Arial" w:cs="Arial"/>
                <w:color w:val="000000"/>
              </w:rPr>
              <w:t>W</w:t>
            </w:r>
            <w:r>
              <w:rPr>
                <w:rFonts w:ascii="Arial" w:eastAsia="Times New Roman" w:hAnsi="Arial" w:cs="Arial"/>
                <w:color w:val="000000"/>
              </w:rPr>
              <w:t>/</w:t>
            </w:r>
            <w:r w:rsidRPr="00BC609D">
              <w:rPr>
                <w:rFonts w:ascii="Arial" w:eastAsia="Times New Roman" w:hAnsi="Arial" w:cs="Arial"/>
                <w:color w:val="000000"/>
              </w:rPr>
              <w:t>L</w:t>
            </w:r>
          </w:p>
        </w:tc>
        <w:tc>
          <w:tcPr>
            <w:tcW w:w="3150" w:type="dxa"/>
          </w:tcPr>
          <w:p w14:paraId="1FE499EA"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eastAsia="Times New Roman" w:hAnsi="Arial" w:cs="Arial"/>
                <w:color w:val="000000"/>
              </w:rPr>
              <w:t>5.03</w:t>
            </w:r>
          </w:p>
        </w:tc>
        <w:tc>
          <w:tcPr>
            <w:tcW w:w="2880" w:type="dxa"/>
          </w:tcPr>
          <w:p w14:paraId="1FF17536"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Lower bound</w:t>
            </w:r>
          </w:p>
        </w:tc>
      </w:tr>
      <w:tr w:rsidR="000F7048" w:rsidRPr="00BC609D" w14:paraId="14833E82" w14:textId="77777777" w:rsidTr="003E5F54">
        <w:trPr>
          <w:trHeight w:val="213"/>
        </w:trPr>
        <w:tc>
          <w:tcPr>
            <w:cnfStyle w:val="001000000000" w:firstRow="0" w:lastRow="0" w:firstColumn="1" w:lastColumn="0" w:oddVBand="0" w:evenVBand="0" w:oddHBand="0" w:evenHBand="0" w:firstRowFirstColumn="0" w:firstRowLastColumn="0" w:lastRowFirstColumn="0" w:lastRowLastColumn="0"/>
            <w:tcW w:w="1183" w:type="dxa"/>
          </w:tcPr>
          <w:p w14:paraId="2AAD66C8" w14:textId="77777777" w:rsidR="000F7048" w:rsidRPr="00AD421A" w:rsidRDefault="000F7048" w:rsidP="00F43643">
            <w:pPr>
              <w:rPr>
                <w:rFonts w:ascii="Arial" w:hAnsi="Arial" w:cs="Arial"/>
                <w:b w:val="0"/>
              </w:rPr>
            </w:pPr>
            <w:r w:rsidRPr="00AD421A">
              <w:rPr>
                <w:rFonts w:ascii="Arial" w:eastAsia="Times New Roman" w:hAnsi="Arial" w:cs="Arial"/>
                <w:color w:val="000000"/>
              </w:rPr>
              <w:t>AMB_42</w:t>
            </w:r>
          </w:p>
        </w:tc>
        <w:tc>
          <w:tcPr>
            <w:tcW w:w="1985" w:type="dxa"/>
          </w:tcPr>
          <w:p w14:paraId="594CC60B"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609D">
              <w:rPr>
                <w:rFonts w:ascii="Arial" w:eastAsia="Times New Roman" w:hAnsi="Arial" w:cs="Arial"/>
                <w:color w:val="000000"/>
              </w:rPr>
              <w:t>W</w:t>
            </w:r>
            <w:r>
              <w:rPr>
                <w:rFonts w:ascii="Arial" w:eastAsia="Times New Roman" w:hAnsi="Arial" w:cs="Arial"/>
                <w:color w:val="000000"/>
              </w:rPr>
              <w:t>/</w:t>
            </w:r>
            <w:r w:rsidRPr="00BC609D">
              <w:rPr>
                <w:rFonts w:ascii="Arial" w:eastAsia="Times New Roman" w:hAnsi="Arial" w:cs="Arial"/>
                <w:color w:val="000000"/>
              </w:rPr>
              <w:t>L</w:t>
            </w:r>
          </w:p>
        </w:tc>
        <w:tc>
          <w:tcPr>
            <w:tcW w:w="3150" w:type="dxa"/>
          </w:tcPr>
          <w:p w14:paraId="71568775"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609D">
              <w:rPr>
                <w:rFonts w:ascii="Arial" w:eastAsia="Times New Roman" w:hAnsi="Arial" w:cs="Arial"/>
                <w:color w:val="000000"/>
              </w:rPr>
              <w:t>4.94</w:t>
            </w:r>
          </w:p>
        </w:tc>
        <w:tc>
          <w:tcPr>
            <w:tcW w:w="2880" w:type="dxa"/>
          </w:tcPr>
          <w:p w14:paraId="1F979030"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Lower bound</w:t>
            </w:r>
          </w:p>
        </w:tc>
      </w:tr>
      <w:tr w:rsidR="000F7048" w:rsidRPr="00BC609D" w14:paraId="49DD3DBD" w14:textId="77777777" w:rsidTr="003E5F5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83" w:type="dxa"/>
          </w:tcPr>
          <w:p w14:paraId="0A01B621" w14:textId="77777777" w:rsidR="000F7048" w:rsidRPr="00AD421A" w:rsidRDefault="000F7048" w:rsidP="00F43643">
            <w:pPr>
              <w:rPr>
                <w:rFonts w:ascii="Arial" w:hAnsi="Arial" w:cs="Arial"/>
                <w:b w:val="0"/>
              </w:rPr>
            </w:pPr>
            <w:r w:rsidRPr="00AD421A">
              <w:rPr>
                <w:rFonts w:ascii="Arial" w:eastAsia="Times New Roman" w:hAnsi="Arial" w:cs="Arial"/>
                <w:color w:val="000000"/>
              </w:rPr>
              <w:t>AMB_62</w:t>
            </w:r>
          </w:p>
        </w:tc>
        <w:tc>
          <w:tcPr>
            <w:tcW w:w="1985" w:type="dxa"/>
          </w:tcPr>
          <w:p w14:paraId="7EB4CC9A"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eastAsia="Times New Roman" w:hAnsi="Arial" w:cs="Arial"/>
                <w:color w:val="000000"/>
              </w:rPr>
              <w:t>W</w:t>
            </w:r>
            <w:r>
              <w:rPr>
                <w:rFonts w:ascii="Arial" w:eastAsia="Times New Roman" w:hAnsi="Arial" w:cs="Arial"/>
                <w:color w:val="000000"/>
              </w:rPr>
              <w:t>/</w:t>
            </w:r>
            <w:r w:rsidRPr="00BC609D">
              <w:rPr>
                <w:rFonts w:ascii="Arial" w:eastAsia="Times New Roman" w:hAnsi="Arial" w:cs="Arial"/>
                <w:color w:val="000000"/>
              </w:rPr>
              <w:t>L</w:t>
            </w:r>
          </w:p>
        </w:tc>
        <w:tc>
          <w:tcPr>
            <w:tcW w:w="3150" w:type="dxa"/>
          </w:tcPr>
          <w:p w14:paraId="791A2E1F"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609D">
              <w:rPr>
                <w:rFonts w:ascii="Arial" w:eastAsia="Times New Roman" w:hAnsi="Arial" w:cs="Arial"/>
                <w:color w:val="000000"/>
              </w:rPr>
              <w:t>4.94</w:t>
            </w:r>
          </w:p>
        </w:tc>
        <w:tc>
          <w:tcPr>
            <w:tcW w:w="2880" w:type="dxa"/>
          </w:tcPr>
          <w:p w14:paraId="7C6856F7" w14:textId="77777777" w:rsidR="000F7048" w:rsidRPr="00BC609D"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Lower bound</w:t>
            </w:r>
          </w:p>
        </w:tc>
      </w:tr>
      <w:tr w:rsidR="000F7048" w:rsidRPr="00BC609D" w14:paraId="6B5497BE" w14:textId="77777777" w:rsidTr="003E5F54">
        <w:trPr>
          <w:trHeight w:val="252"/>
        </w:trPr>
        <w:tc>
          <w:tcPr>
            <w:cnfStyle w:val="001000000000" w:firstRow="0" w:lastRow="0" w:firstColumn="1" w:lastColumn="0" w:oddVBand="0" w:evenVBand="0" w:oddHBand="0" w:evenHBand="0" w:firstRowFirstColumn="0" w:firstRowLastColumn="0" w:lastRowFirstColumn="0" w:lastRowLastColumn="0"/>
            <w:tcW w:w="1183" w:type="dxa"/>
          </w:tcPr>
          <w:p w14:paraId="479646D0" w14:textId="77777777" w:rsidR="000F7048" w:rsidRPr="00AD421A" w:rsidRDefault="000F7048" w:rsidP="00F43643">
            <w:pPr>
              <w:rPr>
                <w:rFonts w:ascii="Arial" w:eastAsia="Times New Roman" w:hAnsi="Arial" w:cs="Arial"/>
                <w:b w:val="0"/>
                <w:color w:val="000000"/>
              </w:rPr>
            </w:pPr>
            <w:r w:rsidRPr="00AD421A">
              <w:rPr>
                <w:rFonts w:ascii="Arial" w:eastAsia="Times New Roman" w:hAnsi="Arial" w:cs="Arial"/>
                <w:color w:val="000000"/>
              </w:rPr>
              <w:t>AMB_67</w:t>
            </w:r>
          </w:p>
        </w:tc>
        <w:tc>
          <w:tcPr>
            <w:tcW w:w="1985" w:type="dxa"/>
          </w:tcPr>
          <w:p w14:paraId="6B277A84"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C609D">
              <w:rPr>
                <w:rFonts w:ascii="Arial" w:eastAsia="Times New Roman" w:hAnsi="Arial" w:cs="Arial"/>
                <w:color w:val="000000"/>
              </w:rPr>
              <w:t>L</w:t>
            </w:r>
            <w:r>
              <w:rPr>
                <w:rFonts w:ascii="Arial" w:eastAsia="Times New Roman" w:hAnsi="Arial" w:cs="Arial"/>
                <w:color w:val="000000"/>
              </w:rPr>
              <w:t>/</w:t>
            </w:r>
            <w:r w:rsidRPr="00BC609D">
              <w:rPr>
                <w:rFonts w:ascii="Arial" w:eastAsia="Times New Roman" w:hAnsi="Arial" w:cs="Arial"/>
                <w:color w:val="000000"/>
              </w:rPr>
              <w:t>W</w:t>
            </w:r>
          </w:p>
        </w:tc>
        <w:tc>
          <w:tcPr>
            <w:tcW w:w="3150" w:type="dxa"/>
          </w:tcPr>
          <w:p w14:paraId="64941BCD"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2.11</w:t>
            </w:r>
          </w:p>
        </w:tc>
        <w:tc>
          <w:tcPr>
            <w:tcW w:w="2880" w:type="dxa"/>
          </w:tcPr>
          <w:p w14:paraId="20FB7F6F" w14:textId="77777777" w:rsidR="000F7048" w:rsidRPr="00BC609D"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609D">
              <w:rPr>
                <w:rFonts w:ascii="Arial" w:hAnsi="Arial" w:cs="Arial"/>
              </w:rPr>
              <w:t>Known</w:t>
            </w:r>
          </w:p>
        </w:tc>
      </w:tr>
    </w:tbl>
    <w:p w14:paraId="274E4CBC" w14:textId="77777777" w:rsidR="000F7048" w:rsidRDefault="000F7048" w:rsidP="000F7048"/>
    <w:p w14:paraId="01E293C1" w14:textId="77777777" w:rsidR="000F7048" w:rsidRPr="00AD421A" w:rsidRDefault="000F7048" w:rsidP="000F7048">
      <w:pPr>
        <w:rPr>
          <w:rFonts w:ascii="Arial" w:hAnsi="Arial" w:cs="Arial"/>
        </w:rPr>
      </w:pPr>
      <w:r w:rsidRPr="00AD421A">
        <w:rPr>
          <w:rFonts w:ascii="Arial" w:hAnsi="Arial" w:cs="Arial"/>
          <w:vertAlign w:val="superscript"/>
        </w:rPr>
        <w:t>1</w:t>
      </w:r>
      <w:r w:rsidRPr="00AD421A">
        <w:rPr>
          <w:rFonts w:ascii="Arial" w:hAnsi="Arial" w:cs="Arial"/>
        </w:rPr>
        <w:t xml:space="preserve"> L = Lodge group; W = wild-feeding group</w:t>
      </w:r>
    </w:p>
    <w:p w14:paraId="6C4B0337" w14:textId="77777777" w:rsidR="000F7048" w:rsidRPr="009F0C55" w:rsidRDefault="000F7048" w:rsidP="000F7048">
      <w:pPr>
        <w:rPr>
          <w:rFonts w:ascii="Arial" w:hAnsi="Arial" w:cs="Arial"/>
        </w:rPr>
      </w:pPr>
      <w:r w:rsidRPr="009F0C55">
        <w:rPr>
          <w:rFonts w:ascii="Arial" w:hAnsi="Arial" w:cs="Arial"/>
          <w:vertAlign w:val="superscript"/>
        </w:rPr>
        <w:t>2</w:t>
      </w:r>
      <w:r w:rsidRPr="009F0C55">
        <w:rPr>
          <w:rFonts w:ascii="Arial" w:hAnsi="Arial" w:cs="Arial"/>
        </w:rPr>
        <w:t xml:space="preserve"> </w:t>
      </w:r>
      <w:r>
        <w:rPr>
          <w:rFonts w:ascii="Arial" w:hAnsi="Arial" w:cs="Arial"/>
        </w:rPr>
        <w:t>N</w:t>
      </w:r>
      <w:r w:rsidRPr="009F0C55">
        <w:rPr>
          <w:rFonts w:ascii="Arial" w:hAnsi="Arial" w:cs="Arial"/>
        </w:rPr>
        <w:t>umber of years</w:t>
      </w:r>
      <w:r>
        <w:rPr>
          <w:rFonts w:ascii="Arial" w:hAnsi="Arial" w:cs="Arial"/>
        </w:rPr>
        <w:t xml:space="preserve"> </w:t>
      </w:r>
      <w:r w:rsidRPr="009F0C55">
        <w:rPr>
          <w:rFonts w:ascii="Arial" w:hAnsi="Arial" w:cs="Arial"/>
        </w:rPr>
        <w:t xml:space="preserve">the </w:t>
      </w:r>
      <w:r>
        <w:rPr>
          <w:rFonts w:ascii="Arial" w:hAnsi="Arial" w:cs="Arial"/>
        </w:rPr>
        <w:t>male</w:t>
      </w:r>
      <w:r w:rsidRPr="009F0C55">
        <w:rPr>
          <w:rFonts w:ascii="Arial" w:hAnsi="Arial" w:cs="Arial"/>
        </w:rPr>
        <w:t xml:space="preserve"> resided in the </w:t>
      </w:r>
      <w:r>
        <w:rPr>
          <w:rFonts w:ascii="Arial" w:hAnsi="Arial" w:cs="Arial"/>
        </w:rPr>
        <w:t>post-dispersal</w:t>
      </w:r>
      <w:r w:rsidRPr="009F0C55">
        <w:rPr>
          <w:rFonts w:ascii="Arial" w:hAnsi="Arial" w:cs="Arial"/>
        </w:rPr>
        <w:t xml:space="preserve"> resource base group prior to blood sample collection  </w:t>
      </w:r>
    </w:p>
    <w:p w14:paraId="14C7465A" w14:textId="77777777" w:rsidR="000F7048" w:rsidRPr="00BC609D" w:rsidRDefault="000F7048" w:rsidP="000F7048">
      <w:r w:rsidRPr="009F0C55">
        <w:rPr>
          <w:rFonts w:ascii="Arial" w:hAnsi="Arial" w:cs="Arial"/>
          <w:vertAlign w:val="superscript"/>
        </w:rPr>
        <w:t>3</w:t>
      </w:r>
      <w:r w:rsidRPr="009F0C55">
        <w:rPr>
          <w:rFonts w:ascii="Arial" w:hAnsi="Arial" w:cs="Arial"/>
        </w:rPr>
        <w:t xml:space="preserve"> </w:t>
      </w:r>
      <w:r>
        <w:rPr>
          <w:rFonts w:ascii="Arial" w:hAnsi="Arial" w:cs="Arial"/>
        </w:rPr>
        <w:t xml:space="preserve">For individuals that </w:t>
      </w:r>
      <w:r w:rsidRPr="009F0C55">
        <w:rPr>
          <w:rFonts w:ascii="Arial" w:eastAsia="Times New Roman" w:hAnsi="Arial" w:cs="Arial"/>
          <w:color w:val="222222"/>
        </w:rPr>
        <w:t>switched from the Lodge group to a wild-feeding group</w:t>
      </w:r>
      <w:r>
        <w:rPr>
          <w:rFonts w:ascii="Arial" w:eastAsia="Times New Roman" w:hAnsi="Arial" w:cs="Arial"/>
          <w:color w:val="222222"/>
        </w:rPr>
        <w:t xml:space="preserve">, the timing of dispersal events and group residency are known. For individuals that switched from a wild-feeding group to the Lodge group, early histories were inferred (see main text) and the precise timing of their switch from wild-feeding to Lodge is unknown. For these individuals, we provide the number of years they were directly observed in the Lodge group, which serves as a lower bound for the total number of years they experienced the Lodge resource base prior to blood sampling.   </w:t>
      </w:r>
    </w:p>
    <w:p w14:paraId="3BE2AE5B" w14:textId="77777777" w:rsidR="000F7048" w:rsidRDefault="000F7048" w:rsidP="000F7048">
      <w:pPr>
        <w:rPr>
          <w:rFonts w:ascii="Arial" w:eastAsiaTheme="majorEastAsia" w:hAnsi="Arial" w:cs="Arial"/>
          <w:b/>
          <w:bCs/>
          <w:sz w:val="22"/>
          <w:szCs w:val="22"/>
        </w:rPr>
      </w:pPr>
      <w:r>
        <w:br w:type="page"/>
      </w:r>
    </w:p>
    <w:p w14:paraId="0247B3BA" w14:textId="77777777" w:rsidR="000F7048" w:rsidRPr="00A50C1F" w:rsidRDefault="000F7048" w:rsidP="000F7048">
      <w:pPr>
        <w:pStyle w:val="Heading1"/>
        <w:spacing w:line="240" w:lineRule="auto"/>
        <w:rPr>
          <w:b w:val="0"/>
          <w:sz w:val="18"/>
          <w:szCs w:val="18"/>
        </w:rPr>
      </w:pPr>
      <w:bookmarkStart w:id="49" w:name="_Toc306792092"/>
      <w:bookmarkStart w:id="50" w:name="_Toc306797763"/>
      <w:r w:rsidRPr="00A50C1F">
        <w:lastRenderedPageBreak/>
        <w:t xml:space="preserve">Table </w:t>
      </w:r>
      <w:r>
        <w:t>S2</w:t>
      </w:r>
      <w:r w:rsidRPr="00A50C1F">
        <w:t>. Baboon RRBS data</w:t>
      </w:r>
      <w:r>
        <w:t xml:space="preserve"> </w:t>
      </w:r>
      <w:r w:rsidRPr="00A50C1F">
        <w:t>set sample characteristics and read mapping summary.</w:t>
      </w:r>
      <w:bookmarkEnd w:id="49"/>
      <w:bookmarkEnd w:id="50"/>
    </w:p>
    <w:p w14:paraId="13C691CF" w14:textId="77777777" w:rsidR="000F7048" w:rsidRPr="00A50C1F" w:rsidRDefault="000F7048" w:rsidP="000F7048">
      <w:pPr>
        <w:jc w:val="both"/>
        <w:outlineLvl w:val="0"/>
        <w:rPr>
          <w:rFonts w:ascii="Arial" w:hAnsi="Arial" w:cs="Arial"/>
          <w:b/>
          <w:sz w:val="18"/>
          <w:szCs w:val="18"/>
        </w:rPr>
      </w:pPr>
    </w:p>
    <w:tbl>
      <w:tblPr>
        <w:tblStyle w:val="LightShading"/>
        <w:tblW w:w="8820" w:type="dxa"/>
        <w:tblLayout w:type="fixed"/>
        <w:tblLook w:val="04A0" w:firstRow="1" w:lastRow="0" w:firstColumn="1" w:lastColumn="0" w:noHBand="0" w:noVBand="1"/>
      </w:tblPr>
      <w:tblGrid>
        <w:gridCol w:w="1080"/>
        <w:gridCol w:w="540"/>
        <w:gridCol w:w="900"/>
        <w:gridCol w:w="1260"/>
        <w:gridCol w:w="990"/>
        <w:gridCol w:w="1260"/>
        <w:gridCol w:w="1440"/>
        <w:gridCol w:w="1350"/>
      </w:tblGrid>
      <w:tr w:rsidR="000F7048" w:rsidRPr="0083621E" w14:paraId="24F15DE2" w14:textId="77777777" w:rsidTr="003E5F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3D45E42"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Individual</w:t>
            </w:r>
          </w:p>
        </w:tc>
        <w:tc>
          <w:tcPr>
            <w:tcW w:w="540" w:type="dxa"/>
          </w:tcPr>
          <w:p w14:paraId="4530F353" w14:textId="77777777" w:rsidR="000F7048" w:rsidRPr="0083621E"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Sex</w:t>
            </w:r>
          </w:p>
        </w:tc>
        <w:tc>
          <w:tcPr>
            <w:tcW w:w="900" w:type="dxa"/>
          </w:tcPr>
          <w:p w14:paraId="01F39FD5" w14:textId="77777777" w:rsidR="000F7048" w:rsidRPr="0083621E"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 xml:space="preserve">Age of </w:t>
            </w:r>
            <w:r>
              <w:rPr>
                <w:rFonts w:ascii="Arial" w:eastAsia="Times New Roman" w:hAnsi="Arial" w:cs="Arial"/>
                <w:sz w:val="18"/>
                <w:szCs w:val="18"/>
              </w:rPr>
              <w:t>animal (years)</w:t>
            </w:r>
          </w:p>
        </w:tc>
        <w:tc>
          <w:tcPr>
            <w:tcW w:w="1260" w:type="dxa"/>
          </w:tcPr>
          <w:p w14:paraId="7A475856" w14:textId="77777777" w:rsidR="000F7048" w:rsidRPr="0083621E"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Bisulfite conversion rate</w:t>
            </w:r>
            <w:r w:rsidRPr="0083621E">
              <w:rPr>
                <w:rFonts w:ascii="Arial" w:eastAsia="Times New Roman" w:hAnsi="Arial" w:cs="Arial"/>
                <w:sz w:val="18"/>
                <w:szCs w:val="18"/>
                <w:vertAlign w:val="superscript"/>
              </w:rPr>
              <w:t>1</w:t>
            </w:r>
          </w:p>
        </w:tc>
        <w:tc>
          <w:tcPr>
            <w:tcW w:w="990" w:type="dxa"/>
          </w:tcPr>
          <w:p w14:paraId="1E14D0A9" w14:textId="77777777" w:rsidR="000F7048" w:rsidRPr="0083621E"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Sample age (years)</w:t>
            </w:r>
            <w:r w:rsidRPr="000F660F">
              <w:rPr>
                <w:rFonts w:ascii="Arial" w:eastAsia="Times New Roman" w:hAnsi="Arial" w:cs="Arial"/>
                <w:sz w:val="18"/>
                <w:szCs w:val="18"/>
                <w:vertAlign w:val="superscript"/>
              </w:rPr>
              <w:t>2</w:t>
            </w:r>
            <w:r>
              <w:rPr>
                <w:rFonts w:ascii="Arial" w:eastAsia="Times New Roman" w:hAnsi="Arial" w:cs="Arial"/>
                <w:sz w:val="18"/>
                <w:szCs w:val="18"/>
              </w:rPr>
              <w:t xml:space="preserve"> </w:t>
            </w:r>
          </w:p>
        </w:tc>
        <w:tc>
          <w:tcPr>
            <w:tcW w:w="1260" w:type="dxa"/>
            <w:noWrap/>
          </w:tcPr>
          <w:p w14:paraId="1F959FB7" w14:textId="77777777" w:rsidR="000F7048" w:rsidRPr="0083621E"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Total reads generated (in millions)</w:t>
            </w:r>
          </w:p>
        </w:tc>
        <w:tc>
          <w:tcPr>
            <w:tcW w:w="1440" w:type="dxa"/>
            <w:noWrap/>
          </w:tcPr>
          <w:p w14:paraId="4A1CEB6C" w14:textId="77777777" w:rsidR="000F7048" w:rsidRPr="0083621E"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Uniquely mapped reads (in millions)</w:t>
            </w:r>
          </w:p>
        </w:tc>
        <w:tc>
          <w:tcPr>
            <w:tcW w:w="1350" w:type="dxa"/>
            <w:noWrap/>
          </w:tcPr>
          <w:p w14:paraId="52807410" w14:textId="77777777" w:rsidR="000F7048" w:rsidRPr="0083621E" w:rsidRDefault="000F7048" w:rsidP="00F436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Resource base (natal/adult)</w:t>
            </w:r>
            <w:r>
              <w:rPr>
                <w:rFonts w:ascii="Arial" w:eastAsia="Times New Roman" w:hAnsi="Arial" w:cs="Arial"/>
                <w:sz w:val="18"/>
                <w:szCs w:val="18"/>
                <w:vertAlign w:val="superscript"/>
              </w:rPr>
              <w:t>3</w:t>
            </w:r>
          </w:p>
        </w:tc>
      </w:tr>
      <w:tr w:rsidR="000F7048" w:rsidRPr="0083621E" w14:paraId="3EDDE785"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AAB794C"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AMB_01</w:t>
            </w:r>
          </w:p>
        </w:tc>
        <w:tc>
          <w:tcPr>
            <w:tcW w:w="540" w:type="dxa"/>
          </w:tcPr>
          <w:p w14:paraId="7F593C6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1D6F864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11.29</w:t>
            </w:r>
          </w:p>
        </w:tc>
        <w:tc>
          <w:tcPr>
            <w:tcW w:w="1260" w:type="dxa"/>
          </w:tcPr>
          <w:p w14:paraId="5A7E13B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0.9850</w:t>
            </w:r>
          </w:p>
        </w:tc>
        <w:tc>
          <w:tcPr>
            <w:tcW w:w="990" w:type="dxa"/>
          </w:tcPr>
          <w:p w14:paraId="31C69AB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8.39</w:t>
            </w:r>
          </w:p>
        </w:tc>
        <w:tc>
          <w:tcPr>
            <w:tcW w:w="1260" w:type="dxa"/>
            <w:noWrap/>
            <w:hideMark/>
          </w:tcPr>
          <w:p w14:paraId="2B29118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37.023</w:t>
            </w:r>
          </w:p>
        </w:tc>
        <w:tc>
          <w:tcPr>
            <w:tcW w:w="1440" w:type="dxa"/>
            <w:noWrap/>
            <w:hideMark/>
          </w:tcPr>
          <w:p w14:paraId="6193303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25.100</w:t>
            </w:r>
          </w:p>
        </w:tc>
        <w:tc>
          <w:tcPr>
            <w:tcW w:w="1350" w:type="dxa"/>
            <w:noWrap/>
            <w:hideMark/>
          </w:tcPr>
          <w:p w14:paraId="66AE116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L/W</w:t>
            </w:r>
          </w:p>
        </w:tc>
      </w:tr>
      <w:tr w:rsidR="000F7048" w:rsidRPr="0083621E" w14:paraId="18AEAD40"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207AA03"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AMB_02</w:t>
            </w:r>
          </w:p>
        </w:tc>
        <w:tc>
          <w:tcPr>
            <w:tcW w:w="540" w:type="dxa"/>
          </w:tcPr>
          <w:p w14:paraId="5B1226FB"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626E489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10.06</w:t>
            </w:r>
          </w:p>
        </w:tc>
        <w:tc>
          <w:tcPr>
            <w:tcW w:w="1260" w:type="dxa"/>
          </w:tcPr>
          <w:p w14:paraId="3BE4C2A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0.9994</w:t>
            </w:r>
          </w:p>
        </w:tc>
        <w:tc>
          <w:tcPr>
            <w:tcW w:w="990" w:type="dxa"/>
          </w:tcPr>
          <w:p w14:paraId="520C075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24.30</w:t>
            </w:r>
          </w:p>
        </w:tc>
        <w:tc>
          <w:tcPr>
            <w:tcW w:w="1260" w:type="dxa"/>
            <w:noWrap/>
            <w:hideMark/>
          </w:tcPr>
          <w:p w14:paraId="32824E7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33.072</w:t>
            </w:r>
          </w:p>
        </w:tc>
        <w:tc>
          <w:tcPr>
            <w:tcW w:w="1440" w:type="dxa"/>
            <w:noWrap/>
            <w:hideMark/>
          </w:tcPr>
          <w:p w14:paraId="4C08744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22.820</w:t>
            </w:r>
          </w:p>
        </w:tc>
        <w:tc>
          <w:tcPr>
            <w:tcW w:w="1350" w:type="dxa"/>
            <w:noWrap/>
            <w:hideMark/>
          </w:tcPr>
          <w:p w14:paraId="7B62CF1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648AB66E"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0391D49"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AMB_03</w:t>
            </w:r>
          </w:p>
        </w:tc>
        <w:tc>
          <w:tcPr>
            <w:tcW w:w="540" w:type="dxa"/>
          </w:tcPr>
          <w:p w14:paraId="2A25335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7030595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7.67</w:t>
            </w:r>
          </w:p>
        </w:tc>
        <w:tc>
          <w:tcPr>
            <w:tcW w:w="1260" w:type="dxa"/>
          </w:tcPr>
          <w:p w14:paraId="09DF5B2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0.9842</w:t>
            </w:r>
          </w:p>
        </w:tc>
        <w:tc>
          <w:tcPr>
            <w:tcW w:w="990" w:type="dxa"/>
          </w:tcPr>
          <w:p w14:paraId="58B9DD2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6.37</w:t>
            </w:r>
          </w:p>
        </w:tc>
        <w:tc>
          <w:tcPr>
            <w:tcW w:w="1260" w:type="dxa"/>
            <w:noWrap/>
            <w:hideMark/>
          </w:tcPr>
          <w:p w14:paraId="6D6550F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24.088</w:t>
            </w:r>
          </w:p>
        </w:tc>
        <w:tc>
          <w:tcPr>
            <w:tcW w:w="1440" w:type="dxa"/>
            <w:noWrap/>
            <w:hideMark/>
          </w:tcPr>
          <w:p w14:paraId="62E112D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16.943</w:t>
            </w:r>
          </w:p>
        </w:tc>
        <w:tc>
          <w:tcPr>
            <w:tcW w:w="1350" w:type="dxa"/>
            <w:noWrap/>
            <w:hideMark/>
          </w:tcPr>
          <w:p w14:paraId="6F9C919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084E3F28"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88592F9"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AMB_04</w:t>
            </w:r>
          </w:p>
        </w:tc>
        <w:tc>
          <w:tcPr>
            <w:tcW w:w="540" w:type="dxa"/>
          </w:tcPr>
          <w:p w14:paraId="77641B5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679E45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5.40</w:t>
            </w:r>
          </w:p>
        </w:tc>
        <w:tc>
          <w:tcPr>
            <w:tcW w:w="1260" w:type="dxa"/>
          </w:tcPr>
          <w:p w14:paraId="1D39FB0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0.9988</w:t>
            </w:r>
          </w:p>
        </w:tc>
        <w:tc>
          <w:tcPr>
            <w:tcW w:w="990" w:type="dxa"/>
          </w:tcPr>
          <w:p w14:paraId="54602D6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20.20</w:t>
            </w:r>
          </w:p>
        </w:tc>
        <w:tc>
          <w:tcPr>
            <w:tcW w:w="1260" w:type="dxa"/>
            <w:noWrap/>
            <w:hideMark/>
          </w:tcPr>
          <w:p w14:paraId="08BBD8C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14.729</w:t>
            </w:r>
          </w:p>
        </w:tc>
        <w:tc>
          <w:tcPr>
            <w:tcW w:w="1440" w:type="dxa"/>
            <w:noWrap/>
            <w:hideMark/>
          </w:tcPr>
          <w:p w14:paraId="297777B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10.458</w:t>
            </w:r>
          </w:p>
        </w:tc>
        <w:tc>
          <w:tcPr>
            <w:tcW w:w="1350" w:type="dxa"/>
            <w:noWrap/>
            <w:hideMark/>
          </w:tcPr>
          <w:p w14:paraId="6738C79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5E654B3B"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CD99DB3"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AMB_05</w:t>
            </w:r>
          </w:p>
        </w:tc>
        <w:tc>
          <w:tcPr>
            <w:tcW w:w="540" w:type="dxa"/>
          </w:tcPr>
          <w:p w14:paraId="0383B06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6E1300C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18.01</w:t>
            </w:r>
          </w:p>
        </w:tc>
        <w:tc>
          <w:tcPr>
            <w:tcW w:w="1260" w:type="dxa"/>
          </w:tcPr>
          <w:p w14:paraId="6A110C2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0.9849</w:t>
            </w:r>
          </w:p>
        </w:tc>
        <w:tc>
          <w:tcPr>
            <w:tcW w:w="990" w:type="dxa"/>
          </w:tcPr>
          <w:p w14:paraId="2B0C5A2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25.22</w:t>
            </w:r>
          </w:p>
        </w:tc>
        <w:tc>
          <w:tcPr>
            <w:tcW w:w="1260" w:type="dxa"/>
            <w:noWrap/>
            <w:hideMark/>
          </w:tcPr>
          <w:p w14:paraId="13EAB10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51.052</w:t>
            </w:r>
          </w:p>
        </w:tc>
        <w:tc>
          <w:tcPr>
            <w:tcW w:w="1440" w:type="dxa"/>
            <w:noWrap/>
            <w:hideMark/>
          </w:tcPr>
          <w:p w14:paraId="2D95475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35.687</w:t>
            </w:r>
          </w:p>
        </w:tc>
        <w:tc>
          <w:tcPr>
            <w:tcW w:w="1350" w:type="dxa"/>
            <w:noWrap/>
            <w:hideMark/>
          </w:tcPr>
          <w:p w14:paraId="52DF5FA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W/L</w:t>
            </w:r>
          </w:p>
        </w:tc>
      </w:tr>
      <w:tr w:rsidR="000F7048" w:rsidRPr="0083621E" w14:paraId="6EFD618D"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F03EDCC"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AMB_06</w:t>
            </w:r>
          </w:p>
        </w:tc>
        <w:tc>
          <w:tcPr>
            <w:tcW w:w="540" w:type="dxa"/>
          </w:tcPr>
          <w:p w14:paraId="04C6A36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3763B8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6.39</w:t>
            </w:r>
          </w:p>
        </w:tc>
        <w:tc>
          <w:tcPr>
            <w:tcW w:w="1260" w:type="dxa"/>
          </w:tcPr>
          <w:p w14:paraId="79D6262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0.9847</w:t>
            </w:r>
          </w:p>
        </w:tc>
        <w:tc>
          <w:tcPr>
            <w:tcW w:w="990" w:type="dxa"/>
          </w:tcPr>
          <w:p w14:paraId="2782489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25.16</w:t>
            </w:r>
          </w:p>
        </w:tc>
        <w:tc>
          <w:tcPr>
            <w:tcW w:w="1260" w:type="dxa"/>
            <w:noWrap/>
            <w:hideMark/>
          </w:tcPr>
          <w:p w14:paraId="4C267E2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21.887</w:t>
            </w:r>
          </w:p>
        </w:tc>
        <w:tc>
          <w:tcPr>
            <w:tcW w:w="1440" w:type="dxa"/>
            <w:noWrap/>
            <w:hideMark/>
          </w:tcPr>
          <w:p w14:paraId="7BC3513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14.800</w:t>
            </w:r>
          </w:p>
        </w:tc>
        <w:tc>
          <w:tcPr>
            <w:tcW w:w="1350" w:type="dxa"/>
            <w:noWrap/>
            <w:hideMark/>
          </w:tcPr>
          <w:p w14:paraId="0F0FDF7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2C5298E1"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9943F55"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AMB_07</w:t>
            </w:r>
          </w:p>
        </w:tc>
        <w:tc>
          <w:tcPr>
            <w:tcW w:w="540" w:type="dxa"/>
          </w:tcPr>
          <w:p w14:paraId="174E62F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353680D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6.85</w:t>
            </w:r>
          </w:p>
        </w:tc>
        <w:tc>
          <w:tcPr>
            <w:tcW w:w="1260" w:type="dxa"/>
          </w:tcPr>
          <w:p w14:paraId="06F9379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0.9840</w:t>
            </w:r>
          </w:p>
        </w:tc>
        <w:tc>
          <w:tcPr>
            <w:tcW w:w="990" w:type="dxa"/>
          </w:tcPr>
          <w:p w14:paraId="21D61E8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4.13</w:t>
            </w:r>
          </w:p>
        </w:tc>
        <w:tc>
          <w:tcPr>
            <w:tcW w:w="1260" w:type="dxa"/>
            <w:noWrap/>
            <w:hideMark/>
          </w:tcPr>
          <w:p w14:paraId="2E5EF5B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14.934</w:t>
            </w:r>
          </w:p>
        </w:tc>
        <w:tc>
          <w:tcPr>
            <w:tcW w:w="1440" w:type="dxa"/>
            <w:noWrap/>
            <w:hideMark/>
          </w:tcPr>
          <w:p w14:paraId="0C0650C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10.013</w:t>
            </w:r>
          </w:p>
        </w:tc>
        <w:tc>
          <w:tcPr>
            <w:tcW w:w="1350" w:type="dxa"/>
            <w:noWrap/>
            <w:hideMark/>
          </w:tcPr>
          <w:p w14:paraId="69563C4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354A7DB0"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7BFAE9A"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AMB_08</w:t>
            </w:r>
          </w:p>
        </w:tc>
        <w:tc>
          <w:tcPr>
            <w:tcW w:w="540" w:type="dxa"/>
          </w:tcPr>
          <w:p w14:paraId="0F9A330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29A32D9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7.92</w:t>
            </w:r>
          </w:p>
        </w:tc>
        <w:tc>
          <w:tcPr>
            <w:tcW w:w="1260" w:type="dxa"/>
          </w:tcPr>
          <w:p w14:paraId="7418C23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0.9988</w:t>
            </w:r>
          </w:p>
        </w:tc>
        <w:tc>
          <w:tcPr>
            <w:tcW w:w="990" w:type="dxa"/>
          </w:tcPr>
          <w:p w14:paraId="74E0637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25.21</w:t>
            </w:r>
          </w:p>
        </w:tc>
        <w:tc>
          <w:tcPr>
            <w:tcW w:w="1260" w:type="dxa"/>
            <w:noWrap/>
            <w:hideMark/>
          </w:tcPr>
          <w:p w14:paraId="5F54CD2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32.612</w:t>
            </w:r>
          </w:p>
        </w:tc>
        <w:tc>
          <w:tcPr>
            <w:tcW w:w="1440" w:type="dxa"/>
            <w:noWrap/>
            <w:hideMark/>
          </w:tcPr>
          <w:p w14:paraId="53504EC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22.532</w:t>
            </w:r>
          </w:p>
        </w:tc>
        <w:tc>
          <w:tcPr>
            <w:tcW w:w="1350" w:type="dxa"/>
            <w:noWrap/>
            <w:hideMark/>
          </w:tcPr>
          <w:p w14:paraId="4AEB05C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3D117A15"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5C49837"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AMB_09</w:t>
            </w:r>
          </w:p>
        </w:tc>
        <w:tc>
          <w:tcPr>
            <w:tcW w:w="540" w:type="dxa"/>
          </w:tcPr>
          <w:p w14:paraId="6210303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2215F38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5.16</w:t>
            </w:r>
          </w:p>
        </w:tc>
        <w:tc>
          <w:tcPr>
            <w:tcW w:w="1260" w:type="dxa"/>
          </w:tcPr>
          <w:p w14:paraId="3F2CB4E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0.9994</w:t>
            </w:r>
          </w:p>
        </w:tc>
        <w:tc>
          <w:tcPr>
            <w:tcW w:w="990" w:type="dxa"/>
          </w:tcPr>
          <w:p w14:paraId="3124A52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25.13</w:t>
            </w:r>
          </w:p>
        </w:tc>
        <w:tc>
          <w:tcPr>
            <w:tcW w:w="1260" w:type="dxa"/>
            <w:noWrap/>
            <w:hideMark/>
          </w:tcPr>
          <w:p w14:paraId="65DFF16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14.677</w:t>
            </w:r>
          </w:p>
        </w:tc>
        <w:tc>
          <w:tcPr>
            <w:tcW w:w="1440" w:type="dxa"/>
            <w:noWrap/>
            <w:hideMark/>
          </w:tcPr>
          <w:p w14:paraId="5B3DC7E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10.610</w:t>
            </w:r>
          </w:p>
        </w:tc>
        <w:tc>
          <w:tcPr>
            <w:tcW w:w="1350" w:type="dxa"/>
            <w:noWrap/>
            <w:hideMark/>
          </w:tcPr>
          <w:p w14:paraId="6C2AB29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3134BEC5"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28558F5"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AMB_10</w:t>
            </w:r>
          </w:p>
        </w:tc>
        <w:tc>
          <w:tcPr>
            <w:tcW w:w="540" w:type="dxa"/>
          </w:tcPr>
          <w:p w14:paraId="30B2AD5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1B0792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6.25</w:t>
            </w:r>
          </w:p>
        </w:tc>
        <w:tc>
          <w:tcPr>
            <w:tcW w:w="1260" w:type="dxa"/>
          </w:tcPr>
          <w:p w14:paraId="7A24E73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0.9837</w:t>
            </w:r>
          </w:p>
        </w:tc>
        <w:tc>
          <w:tcPr>
            <w:tcW w:w="990" w:type="dxa"/>
          </w:tcPr>
          <w:p w14:paraId="74C73A9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25.21</w:t>
            </w:r>
          </w:p>
        </w:tc>
        <w:tc>
          <w:tcPr>
            <w:tcW w:w="1260" w:type="dxa"/>
            <w:noWrap/>
            <w:hideMark/>
          </w:tcPr>
          <w:p w14:paraId="1A1EA3D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35.170</w:t>
            </w:r>
          </w:p>
        </w:tc>
        <w:tc>
          <w:tcPr>
            <w:tcW w:w="1440" w:type="dxa"/>
            <w:noWrap/>
            <w:hideMark/>
          </w:tcPr>
          <w:p w14:paraId="247F6C5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23.064</w:t>
            </w:r>
          </w:p>
        </w:tc>
        <w:tc>
          <w:tcPr>
            <w:tcW w:w="1350" w:type="dxa"/>
            <w:noWrap/>
            <w:hideMark/>
          </w:tcPr>
          <w:p w14:paraId="476CBA5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6563782E"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F876362"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AMB_11</w:t>
            </w:r>
          </w:p>
        </w:tc>
        <w:tc>
          <w:tcPr>
            <w:tcW w:w="540" w:type="dxa"/>
          </w:tcPr>
          <w:p w14:paraId="17FC7BF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4C2BC87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14.56</w:t>
            </w:r>
          </w:p>
        </w:tc>
        <w:tc>
          <w:tcPr>
            <w:tcW w:w="1260" w:type="dxa"/>
          </w:tcPr>
          <w:p w14:paraId="46B7012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0.9995</w:t>
            </w:r>
          </w:p>
        </w:tc>
        <w:tc>
          <w:tcPr>
            <w:tcW w:w="990" w:type="dxa"/>
          </w:tcPr>
          <w:p w14:paraId="75B439A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25.16</w:t>
            </w:r>
          </w:p>
        </w:tc>
        <w:tc>
          <w:tcPr>
            <w:tcW w:w="1260" w:type="dxa"/>
            <w:noWrap/>
            <w:hideMark/>
          </w:tcPr>
          <w:p w14:paraId="1E1427D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18.719</w:t>
            </w:r>
          </w:p>
        </w:tc>
        <w:tc>
          <w:tcPr>
            <w:tcW w:w="1440" w:type="dxa"/>
            <w:noWrap/>
            <w:hideMark/>
          </w:tcPr>
          <w:p w14:paraId="06482B4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13.103</w:t>
            </w:r>
          </w:p>
        </w:tc>
        <w:tc>
          <w:tcPr>
            <w:tcW w:w="1350" w:type="dxa"/>
            <w:noWrap/>
            <w:hideMark/>
          </w:tcPr>
          <w:p w14:paraId="19B239E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5EA953B2"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40657D3"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AMB_12</w:t>
            </w:r>
          </w:p>
        </w:tc>
        <w:tc>
          <w:tcPr>
            <w:tcW w:w="540" w:type="dxa"/>
          </w:tcPr>
          <w:p w14:paraId="72640EB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0394A2B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3.98</w:t>
            </w:r>
          </w:p>
        </w:tc>
        <w:tc>
          <w:tcPr>
            <w:tcW w:w="1260" w:type="dxa"/>
          </w:tcPr>
          <w:p w14:paraId="783367F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0.9837</w:t>
            </w:r>
          </w:p>
        </w:tc>
        <w:tc>
          <w:tcPr>
            <w:tcW w:w="990" w:type="dxa"/>
          </w:tcPr>
          <w:p w14:paraId="6727BFD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25.14</w:t>
            </w:r>
          </w:p>
        </w:tc>
        <w:tc>
          <w:tcPr>
            <w:tcW w:w="1260" w:type="dxa"/>
            <w:noWrap/>
            <w:hideMark/>
          </w:tcPr>
          <w:p w14:paraId="7AF6E6E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26.056</w:t>
            </w:r>
          </w:p>
        </w:tc>
        <w:tc>
          <w:tcPr>
            <w:tcW w:w="1440" w:type="dxa"/>
            <w:noWrap/>
            <w:hideMark/>
          </w:tcPr>
          <w:p w14:paraId="6D042EC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17.660</w:t>
            </w:r>
          </w:p>
        </w:tc>
        <w:tc>
          <w:tcPr>
            <w:tcW w:w="1350" w:type="dxa"/>
            <w:noWrap/>
            <w:hideMark/>
          </w:tcPr>
          <w:p w14:paraId="5483C85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504ED9A2"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0FCC64E"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AMB_13</w:t>
            </w:r>
          </w:p>
        </w:tc>
        <w:tc>
          <w:tcPr>
            <w:tcW w:w="540" w:type="dxa"/>
          </w:tcPr>
          <w:p w14:paraId="1C5074B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59AEDF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6.01</w:t>
            </w:r>
          </w:p>
        </w:tc>
        <w:tc>
          <w:tcPr>
            <w:tcW w:w="1260" w:type="dxa"/>
          </w:tcPr>
          <w:p w14:paraId="33A81A3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0.9840</w:t>
            </w:r>
          </w:p>
        </w:tc>
        <w:tc>
          <w:tcPr>
            <w:tcW w:w="990" w:type="dxa"/>
          </w:tcPr>
          <w:p w14:paraId="5303532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25.13</w:t>
            </w:r>
          </w:p>
        </w:tc>
        <w:tc>
          <w:tcPr>
            <w:tcW w:w="1260" w:type="dxa"/>
            <w:noWrap/>
            <w:hideMark/>
          </w:tcPr>
          <w:p w14:paraId="4199D37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24.440</w:t>
            </w:r>
          </w:p>
        </w:tc>
        <w:tc>
          <w:tcPr>
            <w:tcW w:w="1440" w:type="dxa"/>
            <w:noWrap/>
            <w:hideMark/>
          </w:tcPr>
          <w:p w14:paraId="45523CF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16.309</w:t>
            </w:r>
          </w:p>
        </w:tc>
        <w:tc>
          <w:tcPr>
            <w:tcW w:w="1350" w:type="dxa"/>
            <w:noWrap/>
            <w:hideMark/>
          </w:tcPr>
          <w:p w14:paraId="7EF9CD8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20D99C93"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C00062C"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AMB_14</w:t>
            </w:r>
          </w:p>
        </w:tc>
        <w:tc>
          <w:tcPr>
            <w:tcW w:w="540" w:type="dxa"/>
          </w:tcPr>
          <w:p w14:paraId="27F9BC8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32C221F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3.76</w:t>
            </w:r>
          </w:p>
        </w:tc>
        <w:tc>
          <w:tcPr>
            <w:tcW w:w="1260" w:type="dxa"/>
          </w:tcPr>
          <w:p w14:paraId="5C9CFC6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0.9989</w:t>
            </w:r>
          </w:p>
        </w:tc>
        <w:tc>
          <w:tcPr>
            <w:tcW w:w="990" w:type="dxa"/>
          </w:tcPr>
          <w:p w14:paraId="0D8C042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25.16</w:t>
            </w:r>
          </w:p>
        </w:tc>
        <w:tc>
          <w:tcPr>
            <w:tcW w:w="1260" w:type="dxa"/>
            <w:noWrap/>
            <w:hideMark/>
          </w:tcPr>
          <w:p w14:paraId="4F8885B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20.660</w:t>
            </w:r>
          </w:p>
        </w:tc>
        <w:tc>
          <w:tcPr>
            <w:tcW w:w="1440" w:type="dxa"/>
            <w:noWrap/>
            <w:hideMark/>
          </w:tcPr>
          <w:p w14:paraId="437DA74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14.073</w:t>
            </w:r>
          </w:p>
        </w:tc>
        <w:tc>
          <w:tcPr>
            <w:tcW w:w="1350" w:type="dxa"/>
            <w:noWrap/>
            <w:hideMark/>
          </w:tcPr>
          <w:p w14:paraId="468614D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6B4E717C"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7587689"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AMB_15</w:t>
            </w:r>
          </w:p>
        </w:tc>
        <w:tc>
          <w:tcPr>
            <w:tcW w:w="540" w:type="dxa"/>
          </w:tcPr>
          <w:p w14:paraId="77C85C6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5C8CE3A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9.53</w:t>
            </w:r>
          </w:p>
        </w:tc>
        <w:tc>
          <w:tcPr>
            <w:tcW w:w="1260" w:type="dxa"/>
          </w:tcPr>
          <w:p w14:paraId="2407808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0.9989</w:t>
            </w:r>
          </w:p>
        </w:tc>
        <w:tc>
          <w:tcPr>
            <w:tcW w:w="990" w:type="dxa"/>
          </w:tcPr>
          <w:p w14:paraId="4EDA674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25.19</w:t>
            </w:r>
          </w:p>
        </w:tc>
        <w:tc>
          <w:tcPr>
            <w:tcW w:w="1260" w:type="dxa"/>
            <w:noWrap/>
            <w:hideMark/>
          </w:tcPr>
          <w:p w14:paraId="2BB7E28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9.586</w:t>
            </w:r>
          </w:p>
        </w:tc>
        <w:tc>
          <w:tcPr>
            <w:tcW w:w="1440" w:type="dxa"/>
            <w:noWrap/>
            <w:hideMark/>
          </w:tcPr>
          <w:p w14:paraId="487A64E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7.285</w:t>
            </w:r>
          </w:p>
        </w:tc>
        <w:tc>
          <w:tcPr>
            <w:tcW w:w="1350" w:type="dxa"/>
            <w:noWrap/>
            <w:hideMark/>
          </w:tcPr>
          <w:p w14:paraId="1A7DE88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63EA32B0"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B649836"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AMB_16</w:t>
            </w:r>
          </w:p>
        </w:tc>
        <w:tc>
          <w:tcPr>
            <w:tcW w:w="540" w:type="dxa"/>
          </w:tcPr>
          <w:p w14:paraId="1D30145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5888A3A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7.84</w:t>
            </w:r>
          </w:p>
        </w:tc>
        <w:tc>
          <w:tcPr>
            <w:tcW w:w="1260" w:type="dxa"/>
          </w:tcPr>
          <w:p w14:paraId="0CFAD59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0.9994</w:t>
            </w:r>
          </w:p>
        </w:tc>
        <w:tc>
          <w:tcPr>
            <w:tcW w:w="990" w:type="dxa"/>
          </w:tcPr>
          <w:p w14:paraId="0DE019B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22.64</w:t>
            </w:r>
          </w:p>
        </w:tc>
        <w:tc>
          <w:tcPr>
            <w:tcW w:w="1260" w:type="dxa"/>
            <w:noWrap/>
            <w:hideMark/>
          </w:tcPr>
          <w:p w14:paraId="6946FC2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18.432</w:t>
            </w:r>
          </w:p>
        </w:tc>
        <w:tc>
          <w:tcPr>
            <w:tcW w:w="1440" w:type="dxa"/>
            <w:noWrap/>
            <w:hideMark/>
          </w:tcPr>
          <w:p w14:paraId="63448EB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12.718</w:t>
            </w:r>
          </w:p>
        </w:tc>
        <w:tc>
          <w:tcPr>
            <w:tcW w:w="1350" w:type="dxa"/>
            <w:noWrap/>
            <w:hideMark/>
          </w:tcPr>
          <w:p w14:paraId="5823791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0D990DA7"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AA76C05"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AMB_17</w:t>
            </w:r>
          </w:p>
        </w:tc>
        <w:tc>
          <w:tcPr>
            <w:tcW w:w="540" w:type="dxa"/>
          </w:tcPr>
          <w:p w14:paraId="73E7CCB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1EA64F1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11.01</w:t>
            </w:r>
          </w:p>
        </w:tc>
        <w:tc>
          <w:tcPr>
            <w:tcW w:w="1260" w:type="dxa"/>
          </w:tcPr>
          <w:p w14:paraId="6D351CD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29A13FA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25.15</w:t>
            </w:r>
          </w:p>
        </w:tc>
        <w:tc>
          <w:tcPr>
            <w:tcW w:w="1260" w:type="dxa"/>
            <w:noWrap/>
            <w:hideMark/>
          </w:tcPr>
          <w:p w14:paraId="2A12A1F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18.549</w:t>
            </w:r>
          </w:p>
        </w:tc>
        <w:tc>
          <w:tcPr>
            <w:tcW w:w="1440" w:type="dxa"/>
            <w:noWrap/>
            <w:hideMark/>
          </w:tcPr>
          <w:p w14:paraId="27DD179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12.903</w:t>
            </w:r>
          </w:p>
        </w:tc>
        <w:tc>
          <w:tcPr>
            <w:tcW w:w="1350" w:type="dxa"/>
            <w:noWrap/>
            <w:hideMark/>
          </w:tcPr>
          <w:p w14:paraId="67DFBE6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L/W</w:t>
            </w:r>
          </w:p>
        </w:tc>
      </w:tr>
      <w:tr w:rsidR="000F7048" w:rsidRPr="0083621E" w14:paraId="00F50ED5"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3AD8008"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AMB_18</w:t>
            </w:r>
          </w:p>
        </w:tc>
        <w:tc>
          <w:tcPr>
            <w:tcW w:w="540" w:type="dxa"/>
          </w:tcPr>
          <w:p w14:paraId="72158DD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3FF06B1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15.79</w:t>
            </w:r>
          </w:p>
        </w:tc>
        <w:tc>
          <w:tcPr>
            <w:tcW w:w="1260" w:type="dxa"/>
          </w:tcPr>
          <w:p w14:paraId="054A464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0D76C63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6.29</w:t>
            </w:r>
          </w:p>
        </w:tc>
        <w:tc>
          <w:tcPr>
            <w:tcW w:w="1260" w:type="dxa"/>
            <w:noWrap/>
            <w:hideMark/>
          </w:tcPr>
          <w:p w14:paraId="20A0180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36.645</w:t>
            </w:r>
          </w:p>
        </w:tc>
        <w:tc>
          <w:tcPr>
            <w:tcW w:w="1440" w:type="dxa"/>
            <w:noWrap/>
            <w:hideMark/>
          </w:tcPr>
          <w:p w14:paraId="38C7C1A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25.193</w:t>
            </w:r>
          </w:p>
        </w:tc>
        <w:tc>
          <w:tcPr>
            <w:tcW w:w="1350" w:type="dxa"/>
            <w:noWrap/>
            <w:hideMark/>
          </w:tcPr>
          <w:p w14:paraId="625C109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4BC7255E"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446A7AB"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AMB_19</w:t>
            </w:r>
          </w:p>
        </w:tc>
        <w:tc>
          <w:tcPr>
            <w:tcW w:w="540" w:type="dxa"/>
          </w:tcPr>
          <w:p w14:paraId="359B1DF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1ADA7A8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3.04</w:t>
            </w:r>
          </w:p>
        </w:tc>
        <w:tc>
          <w:tcPr>
            <w:tcW w:w="1260" w:type="dxa"/>
          </w:tcPr>
          <w:p w14:paraId="4A9B846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4B334AD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25.07</w:t>
            </w:r>
          </w:p>
        </w:tc>
        <w:tc>
          <w:tcPr>
            <w:tcW w:w="1260" w:type="dxa"/>
            <w:noWrap/>
            <w:hideMark/>
          </w:tcPr>
          <w:p w14:paraId="09CA273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31.059</w:t>
            </w:r>
          </w:p>
        </w:tc>
        <w:tc>
          <w:tcPr>
            <w:tcW w:w="1440" w:type="dxa"/>
            <w:noWrap/>
            <w:hideMark/>
          </w:tcPr>
          <w:p w14:paraId="2B503DE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21.321</w:t>
            </w:r>
          </w:p>
        </w:tc>
        <w:tc>
          <w:tcPr>
            <w:tcW w:w="1350" w:type="dxa"/>
            <w:noWrap/>
            <w:hideMark/>
          </w:tcPr>
          <w:p w14:paraId="4063B29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5B97D9F6"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1F1712C"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AMB_20</w:t>
            </w:r>
          </w:p>
        </w:tc>
        <w:tc>
          <w:tcPr>
            <w:tcW w:w="540" w:type="dxa"/>
          </w:tcPr>
          <w:p w14:paraId="168F7FA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1A20D4E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4.50</w:t>
            </w:r>
          </w:p>
        </w:tc>
        <w:tc>
          <w:tcPr>
            <w:tcW w:w="1260" w:type="dxa"/>
          </w:tcPr>
          <w:p w14:paraId="7894745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723FFFF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25.13</w:t>
            </w:r>
          </w:p>
        </w:tc>
        <w:tc>
          <w:tcPr>
            <w:tcW w:w="1260" w:type="dxa"/>
            <w:noWrap/>
            <w:hideMark/>
          </w:tcPr>
          <w:p w14:paraId="1C4AFF1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29.389</w:t>
            </w:r>
          </w:p>
        </w:tc>
        <w:tc>
          <w:tcPr>
            <w:tcW w:w="1440" w:type="dxa"/>
            <w:noWrap/>
            <w:hideMark/>
          </w:tcPr>
          <w:p w14:paraId="0429124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20.758</w:t>
            </w:r>
          </w:p>
        </w:tc>
        <w:tc>
          <w:tcPr>
            <w:tcW w:w="1350" w:type="dxa"/>
            <w:noWrap/>
            <w:hideMark/>
          </w:tcPr>
          <w:p w14:paraId="36AE665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1465B46B"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B919678"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AMB_21</w:t>
            </w:r>
          </w:p>
        </w:tc>
        <w:tc>
          <w:tcPr>
            <w:tcW w:w="540" w:type="dxa"/>
          </w:tcPr>
          <w:p w14:paraId="4B466D3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67D86E9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6.71</w:t>
            </w:r>
          </w:p>
        </w:tc>
        <w:tc>
          <w:tcPr>
            <w:tcW w:w="1260" w:type="dxa"/>
          </w:tcPr>
          <w:p w14:paraId="75172C4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0.9995</w:t>
            </w:r>
          </w:p>
        </w:tc>
        <w:tc>
          <w:tcPr>
            <w:tcW w:w="990" w:type="dxa"/>
          </w:tcPr>
          <w:p w14:paraId="150AC46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6.30</w:t>
            </w:r>
          </w:p>
        </w:tc>
        <w:tc>
          <w:tcPr>
            <w:tcW w:w="1260" w:type="dxa"/>
            <w:noWrap/>
            <w:hideMark/>
          </w:tcPr>
          <w:p w14:paraId="591DCC8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28.666</w:t>
            </w:r>
          </w:p>
        </w:tc>
        <w:tc>
          <w:tcPr>
            <w:tcW w:w="1440" w:type="dxa"/>
            <w:noWrap/>
            <w:hideMark/>
          </w:tcPr>
          <w:p w14:paraId="673C55D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19.779</w:t>
            </w:r>
          </w:p>
        </w:tc>
        <w:tc>
          <w:tcPr>
            <w:tcW w:w="1350" w:type="dxa"/>
            <w:noWrap/>
            <w:hideMark/>
          </w:tcPr>
          <w:p w14:paraId="10B5400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7F98435F"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CC733FB"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AMB_22</w:t>
            </w:r>
          </w:p>
        </w:tc>
        <w:tc>
          <w:tcPr>
            <w:tcW w:w="540" w:type="dxa"/>
          </w:tcPr>
          <w:p w14:paraId="2121E61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2C86071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5.23</w:t>
            </w:r>
          </w:p>
        </w:tc>
        <w:tc>
          <w:tcPr>
            <w:tcW w:w="1260" w:type="dxa"/>
          </w:tcPr>
          <w:p w14:paraId="2CCB7A7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0.9994</w:t>
            </w:r>
          </w:p>
        </w:tc>
        <w:tc>
          <w:tcPr>
            <w:tcW w:w="990" w:type="dxa"/>
          </w:tcPr>
          <w:p w14:paraId="1525F10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25.17</w:t>
            </w:r>
          </w:p>
        </w:tc>
        <w:tc>
          <w:tcPr>
            <w:tcW w:w="1260" w:type="dxa"/>
            <w:noWrap/>
            <w:hideMark/>
          </w:tcPr>
          <w:p w14:paraId="6B9CBCE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16.784</w:t>
            </w:r>
          </w:p>
        </w:tc>
        <w:tc>
          <w:tcPr>
            <w:tcW w:w="1440" w:type="dxa"/>
            <w:noWrap/>
            <w:hideMark/>
          </w:tcPr>
          <w:p w14:paraId="7707296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12.084</w:t>
            </w:r>
          </w:p>
        </w:tc>
        <w:tc>
          <w:tcPr>
            <w:tcW w:w="1350" w:type="dxa"/>
            <w:noWrap/>
            <w:hideMark/>
          </w:tcPr>
          <w:p w14:paraId="68CC45A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4E0A8A25"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F5D8674"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AMB_23</w:t>
            </w:r>
          </w:p>
        </w:tc>
        <w:tc>
          <w:tcPr>
            <w:tcW w:w="540" w:type="dxa"/>
          </w:tcPr>
          <w:p w14:paraId="11FBDC3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063B2BA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9.79</w:t>
            </w:r>
          </w:p>
        </w:tc>
        <w:tc>
          <w:tcPr>
            <w:tcW w:w="1260" w:type="dxa"/>
          </w:tcPr>
          <w:p w14:paraId="2706761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0.9963</w:t>
            </w:r>
          </w:p>
        </w:tc>
        <w:tc>
          <w:tcPr>
            <w:tcW w:w="990" w:type="dxa"/>
          </w:tcPr>
          <w:p w14:paraId="3DEC403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7.42</w:t>
            </w:r>
          </w:p>
        </w:tc>
        <w:tc>
          <w:tcPr>
            <w:tcW w:w="1260" w:type="dxa"/>
            <w:noWrap/>
            <w:hideMark/>
          </w:tcPr>
          <w:p w14:paraId="2B6785B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11.771</w:t>
            </w:r>
          </w:p>
        </w:tc>
        <w:tc>
          <w:tcPr>
            <w:tcW w:w="1440" w:type="dxa"/>
            <w:noWrap/>
            <w:hideMark/>
          </w:tcPr>
          <w:p w14:paraId="3D81CF9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8.084</w:t>
            </w:r>
          </w:p>
        </w:tc>
        <w:tc>
          <w:tcPr>
            <w:tcW w:w="1350" w:type="dxa"/>
            <w:noWrap/>
            <w:hideMark/>
          </w:tcPr>
          <w:p w14:paraId="3805B55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3C4F056A"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562887C"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AMB_24</w:t>
            </w:r>
          </w:p>
        </w:tc>
        <w:tc>
          <w:tcPr>
            <w:tcW w:w="540" w:type="dxa"/>
          </w:tcPr>
          <w:p w14:paraId="301AA4C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092F8AA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4.27</w:t>
            </w:r>
          </w:p>
        </w:tc>
        <w:tc>
          <w:tcPr>
            <w:tcW w:w="1260" w:type="dxa"/>
          </w:tcPr>
          <w:p w14:paraId="7FE7233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0.9987</w:t>
            </w:r>
          </w:p>
        </w:tc>
        <w:tc>
          <w:tcPr>
            <w:tcW w:w="990" w:type="dxa"/>
          </w:tcPr>
          <w:p w14:paraId="61402E6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20.20</w:t>
            </w:r>
          </w:p>
        </w:tc>
        <w:tc>
          <w:tcPr>
            <w:tcW w:w="1260" w:type="dxa"/>
            <w:noWrap/>
            <w:hideMark/>
          </w:tcPr>
          <w:p w14:paraId="7640413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24.483</w:t>
            </w:r>
          </w:p>
        </w:tc>
        <w:tc>
          <w:tcPr>
            <w:tcW w:w="1440" w:type="dxa"/>
            <w:noWrap/>
            <w:hideMark/>
          </w:tcPr>
          <w:p w14:paraId="1A13A09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16.747</w:t>
            </w:r>
          </w:p>
        </w:tc>
        <w:tc>
          <w:tcPr>
            <w:tcW w:w="1350" w:type="dxa"/>
            <w:noWrap/>
            <w:hideMark/>
          </w:tcPr>
          <w:p w14:paraId="7E05B71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792B4AC0"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E8F95BD"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AMB_25</w:t>
            </w:r>
          </w:p>
        </w:tc>
        <w:tc>
          <w:tcPr>
            <w:tcW w:w="540" w:type="dxa"/>
          </w:tcPr>
          <w:p w14:paraId="2570528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611A908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6.00</w:t>
            </w:r>
          </w:p>
        </w:tc>
        <w:tc>
          <w:tcPr>
            <w:tcW w:w="1260" w:type="dxa"/>
          </w:tcPr>
          <w:p w14:paraId="53269D0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0.9986</w:t>
            </w:r>
          </w:p>
        </w:tc>
        <w:tc>
          <w:tcPr>
            <w:tcW w:w="990" w:type="dxa"/>
          </w:tcPr>
          <w:p w14:paraId="0B63BCB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21.16</w:t>
            </w:r>
          </w:p>
        </w:tc>
        <w:tc>
          <w:tcPr>
            <w:tcW w:w="1260" w:type="dxa"/>
            <w:noWrap/>
            <w:hideMark/>
          </w:tcPr>
          <w:p w14:paraId="0C4A71E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71.814</w:t>
            </w:r>
          </w:p>
        </w:tc>
        <w:tc>
          <w:tcPr>
            <w:tcW w:w="1440" w:type="dxa"/>
            <w:noWrap/>
            <w:hideMark/>
          </w:tcPr>
          <w:p w14:paraId="1F01373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42.517</w:t>
            </w:r>
          </w:p>
        </w:tc>
        <w:tc>
          <w:tcPr>
            <w:tcW w:w="1350" w:type="dxa"/>
            <w:noWrap/>
            <w:hideMark/>
          </w:tcPr>
          <w:p w14:paraId="0CB0E41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41D0B4AC"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CDFA662"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AMB_26</w:t>
            </w:r>
          </w:p>
        </w:tc>
        <w:tc>
          <w:tcPr>
            <w:tcW w:w="540" w:type="dxa"/>
          </w:tcPr>
          <w:p w14:paraId="7AFEB02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17B99F7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1.76</w:t>
            </w:r>
          </w:p>
        </w:tc>
        <w:tc>
          <w:tcPr>
            <w:tcW w:w="1260" w:type="dxa"/>
          </w:tcPr>
          <w:p w14:paraId="4728630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0.9987</w:t>
            </w:r>
          </w:p>
        </w:tc>
        <w:tc>
          <w:tcPr>
            <w:tcW w:w="990" w:type="dxa"/>
          </w:tcPr>
          <w:p w14:paraId="736C4E4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25.09</w:t>
            </w:r>
          </w:p>
        </w:tc>
        <w:tc>
          <w:tcPr>
            <w:tcW w:w="1260" w:type="dxa"/>
            <w:noWrap/>
            <w:hideMark/>
          </w:tcPr>
          <w:p w14:paraId="1D04A76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15.461</w:t>
            </w:r>
          </w:p>
        </w:tc>
        <w:tc>
          <w:tcPr>
            <w:tcW w:w="1440" w:type="dxa"/>
            <w:noWrap/>
            <w:hideMark/>
          </w:tcPr>
          <w:p w14:paraId="5696121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10.784</w:t>
            </w:r>
          </w:p>
        </w:tc>
        <w:tc>
          <w:tcPr>
            <w:tcW w:w="1350" w:type="dxa"/>
            <w:noWrap/>
            <w:hideMark/>
          </w:tcPr>
          <w:p w14:paraId="56421FF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19115F67"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EB00CF0"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AMB_27</w:t>
            </w:r>
          </w:p>
        </w:tc>
        <w:tc>
          <w:tcPr>
            <w:tcW w:w="540" w:type="dxa"/>
          </w:tcPr>
          <w:p w14:paraId="42ED46F4"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23C7CA8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5.98</w:t>
            </w:r>
          </w:p>
        </w:tc>
        <w:tc>
          <w:tcPr>
            <w:tcW w:w="1260" w:type="dxa"/>
          </w:tcPr>
          <w:p w14:paraId="42B2106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0.9987</w:t>
            </w:r>
          </w:p>
        </w:tc>
        <w:tc>
          <w:tcPr>
            <w:tcW w:w="990" w:type="dxa"/>
          </w:tcPr>
          <w:p w14:paraId="442C64C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25.20</w:t>
            </w:r>
          </w:p>
        </w:tc>
        <w:tc>
          <w:tcPr>
            <w:tcW w:w="1260" w:type="dxa"/>
            <w:noWrap/>
            <w:hideMark/>
          </w:tcPr>
          <w:p w14:paraId="7623484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31.122</w:t>
            </w:r>
          </w:p>
        </w:tc>
        <w:tc>
          <w:tcPr>
            <w:tcW w:w="1440" w:type="dxa"/>
            <w:noWrap/>
            <w:hideMark/>
          </w:tcPr>
          <w:p w14:paraId="42990D7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21.156</w:t>
            </w:r>
          </w:p>
        </w:tc>
        <w:tc>
          <w:tcPr>
            <w:tcW w:w="1350" w:type="dxa"/>
            <w:noWrap/>
            <w:hideMark/>
          </w:tcPr>
          <w:p w14:paraId="04A7165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12342053"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A85AAB0"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AMB_28</w:t>
            </w:r>
          </w:p>
        </w:tc>
        <w:tc>
          <w:tcPr>
            <w:tcW w:w="540" w:type="dxa"/>
          </w:tcPr>
          <w:p w14:paraId="04F20B9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4B357A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8.29</w:t>
            </w:r>
          </w:p>
        </w:tc>
        <w:tc>
          <w:tcPr>
            <w:tcW w:w="1260" w:type="dxa"/>
          </w:tcPr>
          <w:p w14:paraId="7F376E0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0.9980</w:t>
            </w:r>
          </w:p>
        </w:tc>
        <w:tc>
          <w:tcPr>
            <w:tcW w:w="990" w:type="dxa"/>
          </w:tcPr>
          <w:p w14:paraId="0C85B94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25.20</w:t>
            </w:r>
          </w:p>
        </w:tc>
        <w:tc>
          <w:tcPr>
            <w:tcW w:w="1260" w:type="dxa"/>
            <w:noWrap/>
            <w:hideMark/>
          </w:tcPr>
          <w:p w14:paraId="0121701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35.575</w:t>
            </w:r>
          </w:p>
        </w:tc>
        <w:tc>
          <w:tcPr>
            <w:tcW w:w="1440" w:type="dxa"/>
            <w:noWrap/>
            <w:hideMark/>
          </w:tcPr>
          <w:p w14:paraId="7AD6355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24.680</w:t>
            </w:r>
          </w:p>
        </w:tc>
        <w:tc>
          <w:tcPr>
            <w:tcW w:w="1350" w:type="dxa"/>
            <w:noWrap/>
            <w:hideMark/>
          </w:tcPr>
          <w:p w14:paraId="06CA192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02AA8780"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4C8CF3D"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AMB_29</w:t>
            </w:r>
          </w:p>
        </w:tc>
        <w:tc>
          <w:tcPr>
            <w:tcW w:w="540" w:type="dxa"/>
          </w:tcPr>
          <w:p w14:paraId="56C3551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1EA5206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4.80</w:t>
            </w:r>
          </w:p>
        </w:tc>
        <w:tc>
          <w:tcPr>
            <w:tcW w:w="1260" w:type="dxa"/>
          </w:tcPr>
          <w:p w14:paraId="3FD9450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0.9981</w:t>
            </w:r>
          </w:p>
        </w:tc>
        <w:tc>
          <w:tcPr>
            <w:tcW w:w="990" w:type="dxa"/>
          </w:tcPr>
          <w:p w14:paraId="0D3A9C3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25.16</w:t>
            </w:r>
          </w:p>
        </w:tc>
        <w:tc>
          <w:tcPr>
            <w:tcW w:w="1260" w:type="dxa"/>
            <w:noWrap/>
            <w:hideMark/>
          </w:tcPr>
          <w:p w14:paraId="1C881FC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35.878</w:t>
            </w:r>
          </w:p>
        </w:tc>
        <w:tc>
          <w:tcPr>
            <w:tcW w:w="1440" w:type="dxa"/>
            <w:noWrap/>
            <w:hideMark/>
          </w:tcPr>
          <w:p w14:paraId="2D37224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25.526</w:t>
            </w:r>
          </w:p>
        </w:tc>
        <w:tc>
          <w:tcPr>
            <w:tcW w:w="1350" w:type="dxa"/>
            <w:noWrap/>
            <w:hideMark/>
          </w:tcPr>
          <w:p w14:paraId="372ADE9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559E4745"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31CECE6"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AMB_30</w:t>
            </w:r>
          </w:p>
        </w:tc>
        <w:tc>
          <w:tcPr>
            <w:tcW w:w="540" w:type="dxa"/>
          </w:tcPr>
          <w:p w14:paraId="67B9249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44BEDC4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14.01</w:t>
            </w:r>
          </w:p>
        </w:tc>
        <w:tc>
          <w:tcPr>
            <w:tcW w:w="1260" w:type="dxa"/>
          </w:tcPr>
          <w:p w14:paraId="6915549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0.9980</w:t>
            </w:r>
          </w:p>
        </w:tc>
        <w:tc>
          <w:tcPr>
            <w:tcW w:w="990" w:type="dxa"/>
          </w:tcPr>
          <w:p w14:paraId="725A81D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25.21</w:t>
            </w:r>
          </w:p>
        </w:tc>
        <w:tc>
          <w:tcPr>
            <w:tcW w:w="1260" w:type="dxa"/>
            <w:noWrap/>
            <w:hideMark/>
          </w:tcPr>
          <w:p w14:paraId="1534DBC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15.382</w:t>
            </w:r>
          </w:p>
        </w:tc>
        <w:tc>
          <w:tcPr>
            <w:tcW w:w="1440" w:type="dxa"/>
            <w:noWrap/>
            <w:hideMark/>
          </w:tcPr>
          <w:p w14:paraId="27E0D2C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10.708</w:t>
            </w:r>
          </w:p>
        </w:tc>
        <w:tc>
          <w:tcPr>
            <w:tcW w:w="1350" w:type="dxa"/>
            <w:noWrap/>
            <w:hideMark/>
          </w:tcPr>
          <w:p w14:paraId="7703534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W/L</w:t>
            </w:r>
          </w:p>
        </w:tc>
      </w:tr>
      <w:tr w:rsidR="000F7048" w:rsidRPr="0083621E" w14:paraId="25C0D81F"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4210DBD"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AMB_31</w:t>
            </w:r>
          </w:p>
        </w:tc>
        <w:tc>
          <w:tcPr>
            <w:tcW w:w="540" w:type="dxa"/>
          </w:tcPr>
          <w:p w14:paraId="7318E62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1D43100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2.90</w:t>
            </w:r>
          </w:p>
        </w:tc>
        <w:tc>
          <w:tcPr>
            <w:tcW w:w="1260" w:type="dxa"/>
          </w:tcPr>
          <w:p w14:paraId="30C9F77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0.9980</w:t>
            </w:r>
          </w:p>
        </w:tc>
        <w:tc>
          <w:tcPr>
            <w:tcW w:w="990" w:type="dxa"/>
          </w:tcPr>
          <w:p w14:paraId="4F2768C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25.13</w:t>
            </w:r>
          </w:p>
        </w:tc>
        <w:tc>
          <w:tcPr>
            <w:tcW w:w="1260" w:type="dxa"/>
            <w:noWrap/>
            <w:hideMark/>
          </w:tcPr>
          <w:p w14:paraId="35EC286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34.860</w:t>
            </w:r>
          </w:p>
        </w:tc>
        <w:tc>
          <w:tcPr>
            <w:tcW w:w="1440" w:type="dxa"/>
            <w:noWrap/>
            <w:hideMark/>
          </w:tcPr>
          <w:p w14:paraId="3FD716D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24.045</w:t>
            </w:r>
          </w:p>
        </w:tc>
        <w:tc>
          <w:tcPr>
            <w:tcW w:w="1350" w:type="dxa"/>
            <w:noWrap/>
            <w:hideMark/>
          </w:tcPr>
          <w:p w14:paraId="39950A8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73BC9205"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22FEE42"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AMB_32</w:t>
            </w:r>
          </w:p>
        </w:tc>
        <w:tc>
          <w:tcPr>
            <w:tcW w:w="540" w:type="dxa"/>
          </w:tcPr>
          <w:p w14:paraId="33D4416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70DCF33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14.30</w:t>
            </w:r>
          </w:p>
        </w:tc>
        <w:tc>
          <w:tcPr>
            <w:tcW w:w="1260" w:type="dxa"/>
          </w:tcPr>
          <w:p w14:paraId="676A672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0.9980</w:t>
            </w:r>
          </w:p>
        </w:tc>
        <w:tc>
          <w:tcPr>
            <w:tcW w:w="990" w:type="dxa"/>
          </w:tcPr>
          <w:p w14:paraId="78053B8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8.34</w:t>
            </w:r>
          </w:p>
        </w:tc>
        <w:tc>
          <w:tcPr>
            <w:tcW w:w="1260" w:type="dxa"/>
            <w:noWrap/>
            <w:hideMark/>
          </w:tcPr>
          <w:p w14:paraId="7BC9B8D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21.900</w:t>
            </w:r>
          </w:p>
        </w:tc>
        <w:tc>
          <w:tcPr>
            <w:tcW w:w="1440" w:type="dxa"/>
            <w:noWrap/>
            <w:hideMark/>
          </w:tcPr>
          <w:p w14:paraId="04C58B7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16.169</w:t>
            </w:r>
          </w:p>
        </w:tc>
        <w:tc>
          <w:tcPr>
            <w:tcW w:w="1350" w:type="dxa"/>
            <w:noWrap/>
            <w:hideMark/>
          </w:tcPr>
          <w:p w14:paraId="298523D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2139574A"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43ABC62"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AMB_33</w:t>
            </w:r>
          </w:p>
        </w:tc>
        <w:tc>
          <w:tcPr>
            <w:tcW w:w="540" w:type="dxa"/>
          </w:tcPr>
          <w:p w14:paraId="7C59CB1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1BD1739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5.03</w:t>
            </w:r>
          </w:p>
        </w:tc>
        <w:tc>
          <w:tcPr>
            <w:tcW w:w="1260" w:type="dxa"/>
          </w:tcPr>
          <w:p w14:paraId="4D4B7AA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0.9988</w:t>
            </w:r>
          </w:p>
        </w:tc>
        <w:tc>
          <w:tcPr>
            <w:tcW w:w="990" w:type="dxa"/>
          </w:tcPr>
          <w:p w14:paraId="63AE72D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20.88</w:t>
            </w:r>
          </w:p>
        </w:tc>
        <w:tc>
          <w:tcPr>
            <w:tcW w:w="1260" w:type="dxa"/>
            <w:noWrap/>
            <w:hideMark/>
          </w:tcPr>
          <w:p w14:paraId="3677EE0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20.593</w:t>
            </w:r>
          </w:p>
        </w:tc>
        <w:tc>
          <w:tcPr>
            <w:tcW w:w="1440" w:type="dxa"/>
            <w:noWrap/>
            <w:hideMark/>
          </w:tcPr>
          <w:p w14:paraId="31F3798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14.621</w:t>
            </w:r>
          </w:p>
        </w:tc>
        <w:tc>
          <w:tcPr>
            <w:tcW w:w="1350" w:type="dxa"/>
            <w:noWrap/>
            <w:hideMark/>
          </w:tcPr>
          <w:p w14:paraId="648A1AF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768E23EE"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FD67864"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AMB_34</w:t>
            </w:r>
          </w:p>
        </w:tc>
        <w:tc>
          <w:tcPr>
            <w:tcW w:w="540" w:type="dxa"/>
          </w:tcPr>
          <w:p w14:paraId="51D56B3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03801E5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6.13</w:t>
            </w:r>
          </w:p>
        </w:tc>
        <w:tc>
          <w:tcPr>
            <w:tcW w:w="1260" w:type="dxa"/>
          </w:tcPr>
          <w:p w14:paraId="6518A9E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0.9963</w:t>
            </w:r>
          </w:p>
        </w:tc>
        <w:tc>
          <w:tcPr>
            <w:tcW w:w="990" w:type="dxa"/>
          </w:tcPr>
          <w:p w14:paraId="7E3AC28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25.16</w:t>
            </w:r>
          </w:p>
        </w:tc>
        <w:tc>
          <w:tcPr>
            <w:tcW w:w="1260" w:type="dxa"/>
            <w:noWrap/>
            <w:hideMark/>
          </w:tcPr>
          <w:p w14:paraId="2F45BD6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39.121</w:t>
            </w:r>
          </w:p>
        </w:tc>
        <w:tc>
          <w:tcPr>
            <w:tcW w:w="1440" w:type="dxa"/>
            <w:noWrap/>
            <w:hideMark/>
          </w:tcPr>
          <w:p w14:paraId="2180557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27.385</w:t>
            </w:r>
          </w:p>
        </w:tc>
        <w:tc>
          <w:tcPr>
            <w:tcW w:w="1350" w:type="dxa"/>
            <w:noWrap/>
            <w:hideMark/>
          </w:tcPr>
          <w:p w14:paraId="535B746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4CE596D8"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605535A"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AMB_35</w:t>
            </w:r>
          </w:p>
        </w:tc>
        <w:tc>
          <w:tcPr>
            <w:tcW w:w="540" w:type="dxa"/>
          </w:tcPr>
          <w:p w14:paraId="555B812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3275BC3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3.96</w:t>
            </w:r>
          </w:p>
        </w:tc>
        <w:tc>
          <w:tcPr>
            <w:tcW w:w="1260" w:type="dxa"/>
          </w:tcPr>
          <w:p w14:paraId="69C31D3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0.9994</w:t>
            </w:r>
          </w:p>
        </w:tc>
        <w:tc>
          <w:tcPr>
            <w:tcW w:w="990" w:type="dxa"/>
          </w:tcPr>
          <w:p w14:paraId="7D43C10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25.09</w:t>
            </w:r>
          </w:p>
        </w:tc>
        <w:tc>
          <w:tcPr>
            <w:tcW w:w="1260" w:type="dxa"/>
            <w:noWrap/>
            <w:hideMark/>
          </w:tcPr>
          <w:p w14:paraId="2B504C4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19.536</w:t>
            </w:r>
          </w:p>
        </w:tc>
        <w:tc>
          <w:tcPr>
            <w:tcW w:w="1440" w:type="dxa"/>
            <w:noWrap/>
            <w:hideMark/>
          </w:tcPr>
          <w:p w14:paraId="428A546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13.870</w:t>
            </w:r>
          </w:p>
        </w:tc>
        <w:tc>
          <w:tcPr>
            <w:tcW w:w="1350" w:type="dxa"/>
            <w:noWrap/>
            <w:hideMark/>
          </w:tcPr>
          <w:p w14:paraId="4FD581E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6854E886"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ED8B616"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AMB_36</w:t>
            </w:r>
          </w:p>
        </w:tc>
        <w:tc>
          <w:tcPr>
            <w:tcW w:w="540" w:type="dxa"/>
          </w:tcPr>
          <w:p w14:paraId="7ACE26C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1B1C63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6.76</w:t>
            </w:r>
          </w:p>
        </w:tc>
        <w:tc>
          <w:tcPr>
            <w:tcW w:w="1260" w:type="dxa"/>
          </w:tcPr>
          <w:p w14:paraId="2C0E92B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0.9978</w:t>
            </w:r>
          </w:p>
        </w:tc>
        <w:tc>
          <w:tcPr>
            <w:tcW w:w="990" w:type="dxa"/>
          </w:tcPr>
          <w:p w14:paraId="461E27D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25.18</w:t>
            </w:r>
          </w:p>
        </w:tc>
        <w:tc>
          <w:tcPr>
            <w:tcW w:w="1260" w:type="dxa"/>
            <w:noWrap/>
            <w:hideMark/>
          </w:tcPr>
          <w:p w14:paraId="0DEACB3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39.791</w:t>
            </w:r>
          </w:p>
        </w:tc>
        <w:tc>
          <w:tcPr>
            <w:tcW w:w="1440" w:type="dxa"/>
            <w:noWrap/>
            <w:hideMark/>
          </w:tcPr>
          <w:p w14:paraId="038265E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27.011</w:t>
            </w:r>
          </w:p>
        </w:tc>
        <w:tc>
          <w:tcPr>
            <w:tcW w:w="1350" w:type="dxa"/>
            <w:noWrap/>
            <w:hideMark/>
          </w:tcPr>
          <w:p w14:paraId="3C8C2ADB"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679DE494"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C695C23"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AMB_37</w:t>
            </w:r>
          </w:p>
        </w:tc>
        <w:tc>
          <w:tcPr>
            <w:tcW w:w="540" w:type="dxa"/>
          </w:tcPr>
          <w:p w14:paraId="11005D1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5FF316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6.11</w:t>
            </w:r>
          </w:p>
        </w:tc>
        <w:tc>
          <w:tcPr>
            <w:tcW w:w="1260" w:type="dxa"/>
          </w:tcPr>
          <w:p w14:paraId="3A1779F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0.9978</w:t>
            </w:r>
          </w:p>
        </w:tc>
        <w:tc>
          <w:tcPr>
            <w:tcW w:w="990" w:type="dxa"/>
          </w:tcPr>
          <w:p w14:paraId="31AFA784"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25.20</w:t>
            </w:r>
          </w:p>
        </w:tc>
        <w:tc>
          <w:tcPr>
            <w:tcW w:w="1260" w:type="dxa"/>
            <w:noWrap/>
            <w:hideMark/>
          </w:tcPr>
          <w:p w14:paraId="3ABA4D2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41.871</w:t>
            </w:r>
          </w:p>
        </w:tc>
        <w:tc>
          <w:tcPr>
            <w:tcW w:w="1440" w:type="dxa"/>
            <w:noWrap/>
            <w:hideMark/>
          </w:tcPr>
          <w:p w14:paraId="182F38C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29.169</w:t>
            </w:r>
          </w:p>
        </w:tc>
        <w:tc>
          <w:tcPr>
            <w:tcW w:w="1350" w:type="dxa"/>
            <w:noWrap/>
            <w:hideMark/>
          </w:tcPr>
          <w:p w14:paraId="66A1C8B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13248CEA"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F56E246"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AMB_38</w:t>
            </w:r>
          </w:p>
        </w:tc>
        <w:tc>
          <w:tcPr>
            <w:tcW w:w="540" w:type="dxa"/>
          </w:tcPr>
          <w:p w14:paraId="33336F7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74838D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14.01</w:t>
            </w:r>
          </w:p>
        </w:tc>
        <w:tc>
          <w:tcPr>
            <w:tcW w:w="1260" w:type="dxa"/>
          </w:tcPr>
          <w:p w14:paraId="08B97FA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0.9978</w:t>
            </w:r>
          </w:p>
        </w:tc>
        <w:tc>
          <w:tcPr>
            <w:tcW w:w="990" w:type="dxa"/>
          </w:tcPr>
          <w:p w14:paraId="4F63D51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25.13</w:t>
            </w:r>
          </w:p>
        </w:tc>
        <w:tc>
          <w:tcPr>
            <w:tcW w:w="1260" w:type="dxa"/>
            <w:noWrap/>
            <w:hideMark/>
          </w:tcPr>
          <w:p w14:paraId="43F25A2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23.945</w:t>
            </w:r>
          </w:p>
        </w:tc>
        <w:tc>
          <w:tcPr>
            <w:tcW w:w="1440" w:type="dxa"/>
            <w:noWrap/>
            <w:hideMark/>
          </w:tcPr>
          <w:p w14:paraId="437A382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18.063</w:t>
            </w:r>
          </w:p>
        </w:tc>
        <w:tc>
          <w:tcPr>
            <w:tcW w:w="1350" w:type="dxa"/>
            <w:noWrap/>
            <w:hideMark/>
          </w:tcPr>
          <w:p w14:paraId="42C8244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W/L</w:t>
            </w:r>
          </w:p>
        </w:tc>
      </w:tr>
      <w:tr w:rsidR="000F7048" w:rsidRPr="0083621E" w14:paraId="6DF9CF22"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C3EADAB"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AMB_39</w:t>
            </w:r>
          </w:p>
        </w:tc>
        <w:tc>
          <w:tcPr>
            <w:tcW w:w="540" w:type="dxa"/>
          </w:tcPr>
          <w:p w14:paraId="0B996FF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1868E724"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8.10</w:t>
            </w:r>
          </w:p>
        </w:tc>
        <w:tc>
          <w:tcPr>
            <w:tcW w:w="1260" w:type="dxa"/>
          </w:tcPr>
          <w:p w14:paraId="0B782174"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0.9994</w:t>
            </w:r>
          </w:p>
        </w:tc>
        <w:tc>
          <w:tcPr>
            <w:tcW w:w="990" w:type="dxa"/>
          </w:tcPr>
          <w:p w14:paraId="1AA81CA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24.25</w:t>
            </w:r>
          </w:p>
        </w:tc>
        <w:tc>
          <w:tcPr>
            <w:tcW w:w="1260" w:type="dxa"/>
            <w:noWrap/>
            <w:hideMark/>
          </w:tcPr>
          <w:p w14:paraId="3E6037B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19.089</w:t>
            </w:r>
          </w:p>
        </w:tc>
        <w:tc>
          <w:tcPr>
            <w:tcW w:w="1440" w:type="dxa"/>
            <w:noWrap/>
            <w:hideMark/>
          </w:tcPr>
          <w:p w14:paraId="0C473E4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13.553</w:t>
            </w:r>
          </w:p>
        </w:tc>
        <w:tc>
          <w:tcPr>
            <w:tcW w:w="1350" w:type="dxa"/>
            <w:noWrap/>
            <w:hideMark/>
          </w:tcPr>
          <w:p w14:paraId="242D03D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5956994D"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38C3EBE"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lastRenderedPageBreak/>
              <w:t>AMB_40</w:t>
            </w:r>
          </w:p>
        </w:tc>
        <w:tc>
          <w:tcPr>
            <w:tcW w:w="540" w:type="dxa"/>
          </w:tcPr>
          <w:p w14:paraId="564FCE5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4EACFA1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4.97</w:t>
            </w:r>
          </w:p>
        </w:tc>
        <w:tc>
          <w:tcPr>
            <w:tcW w:w="1260" w:type="dxa"/>
          </w:tcPr>
          <w:p w14:paraId="5D0212B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0.9995</w:t>
            </w:r>
          </w:p>
        </w:tc>
        <w:tc>
          <w:tcPr>
            <w:tcW w:w="990" w:type="dxa"/>
          </w:tcPr>
          <w:p w14:paraId="3394438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25.18</w:t>
            </w:r>
          </w:p>
        </w:tc>
        <w:tc>
          <w:tcPr>
            <w:tcW w:w="1260" w:type="dxa"/>
            <w:noWrap/>
            <w:hideMark/>
          </w:tcPr>
          <w:p w14:paraId="59EF7E7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22.715</w:t>
            </w:r>
          </w:p>
        </w:tc>
        <w:tc>
          <w:tcPr>
            <w:tcW w:w="1440" w:type="dxa"/>
            <w:noWrap/>
            <w:hideMark/>
          </w:tcPr>
          <w:p w14:paraId="53D36EB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15.673</w:t>
            </w:r>
          </w:p>
        </w:tc>
        <w:tc>
          <w:tcPr>
            <w:tcW w:w="1350" w:type="dxa"/>
            <w:noWrap/>
            <w:hideMark/>
          </w:tcPr>
          <w:p w14:paraId="714AB03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45EF6F14"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A43F3B7"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AMB_41</w:t>
            </w:r>
          </w:p>
        </w:tc>
        <w:tc>
          <w:tcPr>
            <w:tcW w:w="540" w:type="dxa"/>
          </w:tcPr>
          <w:p w14:paraId="4BE99E0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5C60579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3.49</w:t>
            </w:r>
          </w:p>
        </w:tc>
        <w:tc>
          <w:tcPr>
            <w:tcW w:w="1260" w:type="dxa"/>
          </w:tcPr>
          <w:p w14:paraId="770E49D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0.9988</w:t>
            </w:r>
          </w:p>
        </w:tc>
        <w:tc>
          <w:tcPr>
            <w:tcW w:w="990" w:type="dxa"/>
          </w:tcPr>
          <w:p w14:paraId="7A34EB6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24.25</w:t>
            </w:r>
          </w:p>
        </w:tc>
        <w:tc>
          <w:tcPr>
            <w:tcW w:w="1260" w:type="dxa"/>
            <w:noWrap/>
            <w:hideMark/>
          </w:tcPr>
          <w:p w14:paraId="5B38480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37.165</w:t>
            </w:r>
          </w:p>
        </w:tc>
        <w:tc>
          <w:tcPr>
            <w:tcW w:w="1440" w:type="dxa"/>
            <w:noWrap/>
            <w:hideMark/>
          </w:tcPr>
          <w:p w14:paraId="192F2A0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26.015</w:t>
            </w:r>
          </w:p>
        </w:tc>
        <w:tc>
          <w:tcPr>
            <w:tcW w:w="1350" w:type="dxa"/>
            <w:noWrap/>
            <w:hideMark/>
          </w:tcPr>
          <w:p w14:paraId="416B217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7FF8485E"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D85297C"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AMB_42</w:t>
            </w:r>
          </w:p>
        </w:tc>
        <w:tc>
          <w:tcPr>
            <w:tcW w:w="540" w:type="dxa"/>
          </w:tcPr>
          <w:p w14:paraId="48953E0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2078A2E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18.01</w:t>
            </w:r>
          </w:p>
        </w:tc>
        <w:tc>
          <w:tcPr>
            <w:tcW w:w="1260" w:type="dxa"/>
          </w:tcPr>
          <w:p w14:paraId="4F0E390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0.9977</w:t>
            </w:r>
          </w:p>
        </w:tc>
        <w:tc>
          <w:tcPr>
            <w:tcW w:w="990" w:type="dxa"/>
          </w:tcPr>
          <w:p w14:paraId="6FAEBBD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25.22</w:t>
            </w:r>
          </w:p>
        </w:tc>
        <w:tc>
          <w:tcPr>
            <w:tcW w:w="1260" w:type="dxa"/>
            <w:noWrap/>
            <w:hideMark/>
          </w:tcPr>
          <w:p w14:paraId="1D68784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30.003</w:t>
            </w:r>
          </w:p>
        </w:tc>
        <w:tc>
          <w:tcPr>
            <w:tcW w:w="1440" w:type="dxa"/>
            <w:noWrap/>
            <w:hideMark/>
          </w:tcPr>
          <w:p w14:paraId="4BDB018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21.484</w:t>
            </w:r>
          </w:p>
        </w:tc>
        <w:tc>
          <w:tcPr>
            <w:tcW w:w="1350" w:type="dxa"/>
            <w:noWrap/>
            <w:hideMark/>
          </w:tcPr>
          <w:p w14:paraId="2BD75C2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W/L</w:t>
            </w:r>
          </w:p>
        </w:tc>
      </w:tr>
      <w:tr w:rsidR="000F7048" w:rsidRPr="0083621E" w14:paraId="2990BBCD"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2FD416C"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AMB_43</w:t>
            </w:r>
          </w:p>
        </w:tc>
        <w:tc>
          <w:tcPr>
            <w:tcW w:w="540" w:type="dxa"/>
          </w:tcPr>
          <w:p w14:paraId="78C3AF1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061FE92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4.69</w:t>
            </w:r>
          </w:p>
        </w:tc>
        <w:tc>
          <w:tcPr>
            <w:tcW w:w="1260" w:type="dxa"/>
          </w:tcPr>
          <w:p w14:paraId="113F7B9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0.9994</w:t>
            </w:r>
          </w:p>
        </w:tc>
        <w:tc>
          <w:tcPr>
            <w:tcW w:w="990" w:type="dxa"/>
          </w:tcPr>
          <w:p w14:paraId="4B76341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24.28</w:t>
            </w:r>
          </w:p>
        </w:tc>
        <w:tc>
          <w:tcPr>
            <w:tcW w:w="1260" w:type="dxa"/>
            <w:noWrap/>
            <w:hideMark/>
          </w:tcPr>
          <w:p w14:paraId="10B8379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27.103</w:t>
            </w:r>
          </w:p>
        </w:tc>
        <w:tc>
          <w:tcPr>
            <w:tcW w:w="1440" w:type="dxa"/>
            <w:noWrap/>
            <w:hideMark/>
          </w:tcPr>
          <w:p w14:paraId="06392CF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18.972</w:t>
            </w:r>
          </w:p>
        </w:tc>
        <w:tc>
          <w:tcPr>
            <w:tcW w:w="1350" w:type="dxa"/>
            <w:noWrap/>
            <w:hideMark/>
          </w:tcPr>
          <w:p w14:paraId="5A7DDCE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5FEDFFEA"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0816331"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AMB_44</w:t>
            </w:r>
          </w:p>
        </w:tc>
        <w:tc>
          <w:tcPr>
            <w:tcW w:w="540" w:type="dxa"/>
          </w:tcPr>
          <w:p w14:paraId="6EC71FB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6818DCA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5.80</w:t>
            </w:r>
          </w:p>
        </w:tc>
        <w:tc>
          <w:tcPr>
            <w:tcW w:w="1260" w:type="dxa"/>
          </w:tcPr>
          <w:p w14:paraId="1CD550B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3E86BE8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25.22</w:t>
            </w:r>
          </w:p>
        </w:tc>
        <w:tc>
          <w:tcPr>
            <w:tcW w:w="1260" w:type="dxa"/>
            <w:noWrap/>
            <w:hideMark/>
          </w:tcPr>
          <w:p w14:paraId="5248C59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23.953</w:t>
            </w:r>
          </w:p>
        </w:tc>
        <w:tc>
          <w:tcPr>
            <w:tcW w:w="1440" w:type="dxa"/>
            <w:noWrap/>
            <w:hideMark/>
          </w:tcPr>
          <w:p w14:paraId="4CD03B2B"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16.974</w:t>
            </w:r>
          </w:p>
        </w:tc>
        <w:tc>
          <w:tcPr>
            <w:tcW w:w="1350" w:type="dxa"/>
            <w:noWrap/>
            <w:hideMark/>
          </w:tcPr>
          <w:p w14:paraId="6B7AC53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41F5B3A9"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87FA1ED"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AMB_45</w:t>
            </w:r>
          </w:p>
        </w:tc>
        <w:tc>
          <w:tcPr>
            <w:tcW w:w="540" w:type="dxa"/>
          </w:tcPr>
          <w:p w14:paraId="6373ECD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7151FBF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16.44</w:t>
            </w:r>
          </w:p>
        </w:tc>
        <w:tc>
          <w:tcPr>
            <w:tcW w:w="1260" w:type="dxa"/>
          </w:tcPr>
          <w:p w14:paraId="713B7F2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0.9995</w:t>
            </w:r>
          </w:p>
        </w:tc>
        <w:tc>
          <w:tcPr>
            <w:tcW w:w="990" w:type="dxa"/>
          </w:tcPr>
          <w:p w14:paraId="128AE2C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23.27</w:t>
            </w:r>
          </w:p>
        </w:tc>
        <w:tc>
          <w:tcPr>
            <w:tcW w:w="1260" w:type="dxa"/>
            <w:noWrap/>
            <w:hideMark/>
          </w:tcPr>
          <w:p w14:paraId="7529ADE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16.226</w:t>
            </w:r>
          </w:p>
        </w:tc>
        <w:tc>
          <w:tcPr>
            <w:tcW w:w="1440" w:type="dxa"/>
            <w:noWrap/>
            <w:hideMark/>
          </w:tcPr>
          <w:p w14:paraId="5B013BB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11.683</w:t>
            </w:r>
          </w:p>
        </w:tc>
        <w:tc>
          <w:tcPr>
            <w:tcW w:w="1350" w:type="dxa"/>
            <w:noWrap/>
            <w:hideMark/>
          </w:tcPr>
          <w:p w14:paraId="595C38A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7CB3F565"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9FA2A32"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AMB_46</w:t>
            </w:r>
          </w:p>
        </w:tc>
        <w:tc>
          <w:tcPr>
            <w:tcW w:w="540" w:type="dxa"/>
          </w:tcPr>
          <w:p w14:paraId="5D3184C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4FC06EA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4.01</w:t>
            </w:r>
          </w:p>
        </w:tc>
        <w:tc>
          <w:tcPr>
            <w:tcW w:w="1260" w:type="dxa"/>
          </w:tcPr>
          <w:p w14:paraId="2461259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0.9964</w:t>
            </w:r>
          </w:p>
        </w:tc>
        <w:tc>
          <w:tcPr>
            <w:tcW w:w="990" w:type="dxa"/>
          </w:tcPr>
          <w:p w14:paraId="3DEC5C3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25.13</w:t>
            </w:r>
          </w:p>
        </w:tc>
        <w:tc>
          <w:tcPr>
            <w:tcW w:w="1260" w:type="dxa"/>
            <w:noWrap/>
            <w:hideMark/>
          </w:tcPr>
          <w:p w14:paraId="2F9B5B1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53.669</w:t>
            </w:r>
          </w:p>
        </w:tc>
        <w:tc>
          <w:tcPr>
            <w:tcW w:w="1440" w:type="dxa"/>
            <w:noWrap/>
            <w:hideMark/>
          </w:tcPr>
          <w:p w14:paraId="76024D6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37.032</w:t>
            </w:r>
          </w:p>
        </w:tc>
        <w:tc>
          <w:tcPr>
            <w:tcW w:w="1350" w:type="dxa"/>
            <w:noWrap/>
            <w:hideMark/>
          </w:tcPr>
          <w:p w14:paraId="516076A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09F5E437"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EDA2E03"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AMB_47</w:t>
            </w:r>
          </w:p>
        </w:tc>
        <w:tc>
          <w:tcPr>
            <w:tcW w:w="540" w:type="dxa"/>
          </w:tcPr>
          <w:p w14:paraId="3323E88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039D63A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3.64</w:t>
            </w:r>
          </w:p>
        </w:tc>
        <w:tc>
          <w:tcPr>
            <w:tcW w:w="1260" w:type="dxa"/>
          </w:tcPr>
          <w:p w14:paraId="4804F63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0166F2E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25.08</w:t>
            </w:r>
          </w:p>
        </w:tc>
        <w:tc>
          <w:tcPr>
            <w:tcW w:w="1260" w:type="dxa"/>
            <w:noWrap/>
            <w:hideMark/>
          </w:tcPr>
          <w:p w14:paraId="6580531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30.674</w:t>
            </w:r>
          </w:p>
        </w:tc>
        <w:tc>
          <w:tcPr>
            <w:tcW w:w="1440" w:type="dxa"/>
            <w:noWrap/>
            <w:hideMark/>
          </w:tcPr>
          <w:p w14:paraId="0701744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20.747</w:t>
            </w:r>
          </w:p>
        </w:tc>
        <w:tc>
          <w:tcPr>
            <w:tcW w:w="1350" w:type="dxa"/>
            <w:noWrap/>
            <w:hideMark/>
          </w:tcPr>
          <w:p w14:paraId="5DD6869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1A80B096"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940BC8A"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AMB_48</w:t>
            </w:r>
          </w:p>
        </w:tc>
        <w:tc>
          <w:tcPr>
            <w:tcW w:w="540" w:type="dxa"/>
          </w:tcPr>
          <w:p w14:paraId="038DDA9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7406BDB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10.62</w:t>
            </w:r>
          </w:p>
        </w:tc>
        <w:tc>
          <w:tcPr>
            <w:tcW w:w="1260" w:type="dxa"/>
          </w:tcPr>
          <w:p w14:paraId="41AA36C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0.9991</w:t>
            </w:r>
          </w:p>
        </w:tc>
        <w:tc>
          <w:tcPr>
            <w:tcW w:w="990" w:type="dxa"/>
          </w:tcPr>
          <w:p w14:paraId="3A03796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6.30</w:t>
            </w:r>
          </w:p>
        </w:tc>
        <w:tc>
          <w:tcPr>
            <w:tcW w:w="1260" w:type="dxa"/>
            <w:noWrap/>
            <w:hideMark/>
          </w:tcPr>
          <w:p w14:paraId="3254745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37.266</w:t>
            </w:r>
          </w:p>
        </w:tc>
        <w:tc>
          <w:tcPr>
            <w:tcW w:w="1440" w:type="dxa"/>
            <w:noWrap/>
            <w:hideMark/>
          </w:tcPr>
          <w:p w14:paraId="6CFF782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26.408</w:t>
            </w:r>
          </w:p>
        </w:tc>
        <w:tc>
          <w:tcPr>
            <w:tcW w:w="1350" w:type="dxa"/>
            <w:noWrap/>
            <w:hideMark/>
          </w:tcPr>
          <w:p w14:paraId="1FB2695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0AB87F3D"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6032CE1"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AMB_49</w:t>
            </w:r>
          </w:p>
        </w:tc>
        <w:tc>
          <w:tcPr>
            <w:tcW w:w="540" w:type="dxa"/>
          </w:tcPr>
          <w:p w14:paraId="52DD8B0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182B7CD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11.86</w:t>
            </w:r>
          </w:p>
        </w:tc>
        <w:tc>
          <w:tcPr>
            <w:tcW w:w="1260" w:type="dxa"/>
          </w:tcPr>
          <w:p w14:paraId="5760E9C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0.9987</w:t>
            </w:r>
          </w:p>
        </w:tc>
        <w:tc>
          <w:tcPr>
            <w:tcW w:w="990" w:type="dxa"/>
          </w:tcPr>
          <w:p w14:paraId="3BF5F89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5.92</w:t>
            </w:r>
          </w:p>
        </w:tc>
        <w:tc>
          <w:tcPr>
            <w:tcW w:w="1260" w:type="dxa"/>
            <w:noWrap/>
            <w:hideMark/>
          </w:tcPr>
          <w:p w14:paraId="664ED5F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29.500</w:t>
            </w:r>
          </w:p>
        </w:tc>
        <w:tc>
          <w:tcPr>
            <w:tcW w:w="1440" w:type="dxa"/>
            <w:noWrap/>
            <w:hideMark/>
          </w:tcPr>
          <w:p w14:paraId="7973D43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20.155</w:t>
            </w:r>
          </w:p>
        </w:tc>
        <w:tc>
          <w:tcPr>
            <w:tcW w:w="1350" w:type="dxa"/>
            <w:noWrap/>
            <w:hideMark/>
          </w:tcPr>
          <w:p w14:paraId="6BA0967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3D01DD50"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2F60952"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AMB_50</w:t>
            </w:r>
          </w:p>
        </w:tc>
        <w:tc>
          <w:tcPr>
            <w:tcW w:w="540" w:type="dxa"/>
          </w:tcPr>
          <w:p w14:paraId="13D0778B"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3F86C06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6.72</w:t>
            </w:r>
          </w:p>
        </w:tc>
        <w:tc>
          <w:tcPr>
            <w:tcW w:w="1260" w:type="dxa"/>
          </w:tcPr>
          <w:p w14:paraId="2F90E08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0.9988</w:t>
            </w:r>
          </w:p>
        </w:tc>
        <w:tc>
          <w:tcPr>
            <w:tcW w:w="990" w:type="dxa"/>
          </w:tcPr>
          <w:p w14:paraId="6402671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24.30</w:t>
            </w:r>
          </w:p>
        </w:tc>
        <w:tc>
          <w:tcPr>
            <w:tcW w:w="1260" w:type="dxa"/>
            <w:noWrap/>
            <w:hideMark/>
          </w:tcPr>
          <w:p w14:paraId="4B39EB9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79.784</w:t>
            </w:r>
          </w:p>
        </w:tc>
        <w:tc>
          <w:tcPr>
            <w:tcW w:w="1440" w:type="dxa"/>
            <w:noWrap/>
            <w:hideMark/>
          </w:tcPr>
          <w:p w14:paraId="080F107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54.079</w:t>
            </w:r>
          </w:p>
        </w:tc>
        <w:tc>
          <w:tcPr>
            <w:tcW w:w="1350" w:type="dxa"/>
            <w:noWrap/>
            <w:hideMark/>
          </w:tcPr>
          <w:p w14:paraId="44F66EB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4CFF6535"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0B940B73"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AMB_51</w:t>
            </w:r>
          </w:p>
        </w:tc>
        <w:tc>
          <w:tcPr>
            <w:tcW w:w="540" w:type="dxa"/>
          </w:tcPr>
          <w:p w14:paraId="4987F5E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7FF1381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4.92</w:t>
            </w:r>
          </w:p>
        </w:tc>
        <w:tc>
          <w:tcPr>
            <w:tcW w:w="1260" w:type="dxa"/>
          </w:tcPr>
          <w:p w14:paraId="6401CBC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0.9989</w:t>
            </w:r>
          </w:p>
        </w:tc>
        <w:tc>
          <w:tcPr>
            <w:tcW w:w="990" w:type="dxa"/>
          </w:tcPr>
          <w:p w14:paraId="33F29FA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4.58</w:t>
            </w:r>
          </w:p>
        </w:tc>
        <w:tc>
          <w:tcPr>
            <w:tcW w:w="1260" w:type="dxa"/>
            <w:noWrap/>
          </w:tcPr>
          <w:p w14:paraId="7DE2A84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13.903</w:t>
            </w:r>
          </w:p>
        </w:tc>
        <w:tc>
          <w:tcPr>
            <w:tcW w:w="1440" w:type="dxa"/>
            <w:noWrap/>
          </w:tcPr>
          <w:p w14:paraId="7B5E558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9.732</w:t>
            </w:r>
          </w:p>
        </w:tc>
        <w:tc>
          <w:tcPr>
            <w:tcW w:w="1350" w:type="dxa"/>
            <w:noWrap/>
          </w:tcPr>
          <w:p w14:paraId="6D03FCA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661EA75B"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7CDA8F6C"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AMB_52</w:t>
            </w:r>
          </w:p>
        </w:tc>
        <w:tc>
          <w:tcPr>
            <w:tcW w:w="540" w:type="dxa"/>
          </w:tcPr>
          <w:p w14:paraId="67BD150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5BDC6B8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7.54</w:t>
            </w:r>
          </w:p>
        </w:tc>
        <w:tc>
          <w:tcPr>
            <w:tcW w:w="1260" w:type="dxa"/>
          </w:tcPr>
          <w:p w14:paraId="32153C6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0.9988</w:t>
            </w:r>
          </w:p>
        </w:tc>
        <w:tc>
          <w:tcPr>
            <w:tcW w:w="990" w:type="dxa"/>
          </w:tcPr>
          <w:p w14:paraId="73BA537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25.16</w:t>
            </w:r>
          </w:p>
        </w:tc>
        <w:tc>
          <w:tcPr>
            <w:tcW w:w="1260" w:type="dxa"/>
            <w:noWrap/>
          </w:tcPr>
          <w:p w14:paraId="4E21E51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30.061</w:t>
            </w:r>
          </w:p>
        </w:tc>
        <w:tc>
          <w:tcPr>
            <w:tcW w:w="1440" w:type="dxa"/>
            <w:noWrap/>
          </w:tcPr>
          <w:p w14:paraId="055E4E7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22.546</w:t>
            </w:r>
          </w:p>
        </w:tc>
        <w:tc>
          <w:tcPr>
            <w:tcW w:w="1350" w:type="dxa"/>
            <w:noWrap/>
          </w:tcPr>
          <w:p w14:paraId="0DF4098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7E4C4B99"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1073F0D"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AMB_53</w:t>
            </w:r>
          </w:p>
        </w:tc>
        <w:tc>
          <w:tcPr>
            <w:tcW w:w="540" w:type="dxa"/>
          </w:tcPr>
          <w:p w14:paraId="4E0AAC44"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0A7F7EA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2.15</w:t>
            </w:r>
          </w:p>
        </w:tc>
        <w:tc>
          <w:tcPr>
            <w:tcW w:w="1260" w:type="dxa"/>
          </w:tcPr>
          <w:p w14:paraId="582B81B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0.9843</w:t>
            </w:r>
          </w:p>
        </w:tc>
        <w:tc>
          <w:tcPr>
            <w:tcW w:w="990" w:type="dxa"/>
          </w:tcPr>
          <w:p w14:paraId="181D607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25.11</w:t>
            </w:r>
          </w:p>
        </w:tc>
        <w:tc>
          <w:tcPr>
            <w:tcW w:w="1260" w:type="dxa"/>
            <w:noWrap/>
          </w:tcPr>
          <w:p w14:paraId="3A0B8F0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29.804</w:t>
            </w:r>
          </w:p>
        </w:tc>
        <w:tc>
          <w:tcPr>
            <w:tcW w:w="1440" w:type="dxa"/>
            <w:noWrap/>
          </w:tcPr>
          <w:p w14:paraId="687ABD6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20.001</w:t>
            </w:r>
          </w:p>
        </w:tc>
        <w:tc>
          <w:tcPr>
            <w:tcW w:w="1350" w:type="dxa"/>
            <w:noWrap/>
          </w:tcPr>
          <w:p w14:paraId="47C2268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3EC82D77"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FFD2EE2"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AMB_54</w:t>
            </w:r>
          </w:p>
        </w:tc>
        <w:tc>
          <w:tcPr>
            <w:tcW w:w="540" w:type="dxa"/>
          </w:tcPr>
          <w:p w14:paraId="3EFC692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745A907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4.14</w:t>
            </w:r>
          </w:p>
        </w:tc>
        <w:tc>
          <w:tcPr>
            <w:tcW w:w="1260" w:type="dxa"/>
          </w:tcPr>
          <w:p w14:paraId="5166531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0.9964</w:t>
            </w:r>
          </w:p>
        </w:tc>
        <w:tc>
          <w:tcPr>
            <w:tcW w:w="990" w:type="dxa"/>
          </w:tcPr>
          <w:p w14:paraId="5D8E9C6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25.13</w:t>
            </w:r>
          </w:p>
        </w:tc>
        <w:tc>
          <w:tcPr>
            <w:tcW w:w="1260" w:type="dxa"/>
            <w:noWrap/>
          </w:tcPr>
          <w:p w14:paraId="43130FB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16.493</w:t>
            </w:r>
          </w:p>
        </w:tc>
        <w:tc>
          <w:tcPr>
            <w:tcW w:w="1440" w:type="dxa"/>
            <w:noWrap/>
          </w:tcPr>
          <w:p w14:paraId="4D4E68F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11.545</w:t>
            </w:r>
          </w:p>
        </w:tc>
        <w:tc>
          <w:tcPr>
            <w:tcW w:w="1350" w:type="dxa"/>
            <w:noWrap/>
          </w:tcPr>
          <w:p w14:paraId="541EDB1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2D8177FC"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208510D7"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AMB_55</w:t>
            </w:r>
          </w:p>
        </w:tc>
        <w:tc>
          <w:tcPr>
            <w:tcW w:w="540" w:type="dxa"/>
          </w:tcPr>
          <w:p w14:paraId="2BE3BD1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AD9923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7.43</w:t>
            </w:r>
          </w:p>
        </w:tc>
        <w:tc>
          <w:tcPr>
            <w:tcW w:w="1260" w:type="dxa"/>
          </w:tcPr>
          <w:p w14:paraId="67CB1BA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0.9855</w:t>
            </w:r>
          </w:p>
        </w:tc>
        <w:tc>
          <w:tcPr>
            <w:tcW w:w="990" w:type="dxa"/>
          </w:tcPr>
          <w:p w14:paraId="75F1919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7.40</w:t>
            </w:r>
          </w:p>
        </w:tc>
        <w:tc>
          <w:tcPr>
            <w:tcW w:w="1260" w:type="dxa"/>
            <w:noWrap/>
          </w:tcPr>
          <w:p w14:paraId="4F6A39B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13.354</w:t>
            </w:r>
          </w:p>
        </w:tc>
        <w:tc>
          <w:tcPr>
            <w:tcW w:w="1440" w:type="dxa"/>
            <w:noWrap/>
          </w:tcPr>
          <w:p w14:paraId="3935442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9.737</w:t>
            </w:r>
          </w:p>
        </w:tc>
        <w:tc>
          <w:tcPr>
            <w:tcW w:w="1350" w:type="dxa"/>
            <w:noWrap/>
          </w:tcPr>
          <w:p w14:paraId="4B844CC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675CDC96"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5AE4B94A"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AMB_56</w:t>
            </w:r>
          </w:p>
        </w:tc>
        <w:tc>
          <w:tcPr>
            <w:tcW w:w="540" w:type="dxa"/>
          </w:tcPr>
          <w:p w14:paraId="13A5354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43FAE0FB"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9.19</w:t>
            </w:r>
          </w:p>
        </w:tc>
        <w:tc>
          <w:tcPr>
            <w:tcW w:w="1260" w:type="dxa"/>
          </w:tcPr>
          <w:p w14:paraId="0A95C96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0.9955</w:t>
            </w:r>
          </w:p>
        </w:tc>
        <w:tc>
          <w:tcPr>
            <w:tcW w:w="990" w:type="dxa"/>
          </w:tcPr>
          <w:p w14:paraId="2F5BAA6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8.30</w:t>
            </w:r>
          </w:p>
        </w:tc>
        <w:tc>
          <w:tcPr>
            <w:tcW w:w="1260" w:type="dxa"/>
            <w:noWrap/>
          </w:tcPr>
          <w:p w14:paraId="6AA4867B"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11.922</w:t>
            </w:r>
          </w:p>
        </w:tc>
        <w:tc>
          <w:tcPr>
            <w:tcW w:w="1440" w:type="dxa"/>
            <w:noWrap/>
          </w:tcPr>
          <w:p w14:paraId="44C819D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8.275</w:t>
            </w:r>
          </w:p>
        </w:tc>
        <w:tc>
          <w:tcPr>
            <w:tcW w:w="1350" w:type="dxa"/>
            <w:noWrap/>
          </w:tcPr>
          <w:p w14:paraId="4B93277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6740E375"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70874BB8"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AMB_57</w:t>
            </w:r>
          </w:p>
        </w:tc>
        <w:tc>
          <w:tcPr>
            <w:tcW w:w="540" w:type="dxa"/>
          </w:tcPr>
          <w:p w14:paraId="1170BAE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2CBEB02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5.95</w:t>
            </w:r>
          </w:p>
        </w:tc>
        <w:tc>
          <w:tcPr>
            <w:tcW w:w="1260" w:type="dxa"/>
          </w:tcPr>
          <w:p w14:paraId="2A7843D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0.9995</w:t>
            </w:r>
          </w:p>
        </w:tc>
        <w:tc>
          <w:tcPr>
            <w:tcW w:w="990" w:type="dxa"/>
          </w:tcPr>
          <w:p w14:paraId="62CEBAF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6.62</w:t>
            </w:r>
          </w:p>
        </w:tc>
        <w:tc>
          <w:tcPr>
            <w:tcW w:w="1260" w:type="dxa"/>
            <w:noWrap/>
          </w:tcPr>
          <w:p w14:paraId="2FE749E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9.902</w:t>
            </w:r>
          </w:p>
        </w:tc>
        <w:tc>
          <w:tcPr>
            <w:tcW w:w="1440" w:type="dxa"/>
            <w:noWrap/>
          </w:tcPr>
          <w:p w14:paraId="570A26C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7.228</w:t>
            </w:r>
          </w:p>
        </w:tc>
        <w:tc>
          <w:tcPr>
            <w:tcW w:w="1350" w:type="dxa"/>
            <w:noWrap/>
          </w:tcPr>
          <w:p w14:paraId="3B7DE18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2654F02B"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3F62F84A"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AMB_58</w:t>
            </w:r>
          </w:p>
        </w:tc>
        <w:tc>
          <w:tcPr>
            <w:tcW w:w="540" w:type="dxa"/>
          </w:tcPr>
          <w:p w14:paraId="52DC013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5D27FFC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7.73</w:t>
            </w:r>
          </w:p>
        </w:tc>
        <w:tc>
          <w:tcPr>
            <w:tcW w:w="1260" w:type="dxa"/>
          </w:tcPr>
          <w:p w14:paraId="628D9E0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0.9966</w:t>
            </w:r>
          </w:p>
        </w:tc>
        <w:tc>
          <w:tcPr>
            <w:tcW w:w="990" w:type="dxa"/>
          </w:tcPr>
          <w:p w14:paraId="6DF59AE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4.15</w:t>
            </w:r>
          </w:p>
        </w:tc>
        <w:tc>
          <w:tcPr>
            <w:tcW w:w="1260" w:type="dxa"/>
            <w:noWrap/>
          </w:tcPr>
          <w:p w14:paraId="0245BBD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33.865</w:t>
            </w:r>
          </w:p>
        </w:tc>
        <w:tc>
          <w:tcPr>
            <w:tcW w:w="1440" w:type="dxa"/>
            <w:noWrap/>
          </w:tcPr>
          <w:p w14:paraId="4843C1B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23.028</w:t>
            </w:r>
          </w:p>
        </w:tc>
        <w:tc>
          <w:tcPr>
            <w:tcW w:w="1350" w:type="dxa"/>
            <w:noWrap/>
          </w:tcPr>
          <w:p w14:paraId="6A6B02B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2AFD3AB5"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238E5D7E"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AMB_59</w:t>
            </w:r>
          </w:p>
        </w:tc>
        <w:tc>
          <w:tcPr>
            <w:tcW w:w="540" w:type="dxa"/>
          </w:tcPr>
          <w:p w14:paraId="27A5634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0EDE264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5.44</w:t>
            </w:r>
          </w:p>
        </w:tc>
        <w:tc>
          <w:tcPr>
            <w:tcW w:w="1260" w:type="dxa"/>
          </w:tcPr>
          <w:p w14:paraId="7B6E83CC"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0.9988</w:t>
            </w:r>
          </w:p>
        </w:tc>
        <w:tc>
          <w:tcPr>
            <w:tcW w:w="990" w:type="dxa"/>
          </w:tcPr>
          <w:p w14:paraId="59C3106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2.28</w:t>
            </w:r>
          </w:p>
        </w:tc>
        <w:tc>
          <w:tcPr>
            <w:tcW w:w="1260" w:type="dxa"/>
            <w:noWrap/>
          </w:tcPr>
          <w:p w14:paraId="2B5A5EB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11.851</w:t>
            </w:r>
          </w:p>
        </w:tc>
        <w:tc>
          <w:tcPr>
            <w:tcW w:w="1440" w:type="dxa"/>
            <w:noWrap/>
          </w:tcPr>
          <w:p w14:paraId="44F198DB"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8.533</w:t>
            </w:r>
          </w:p>
        </w:tc>
        <w:tc>
          <w:tcPr>
            <w:tcW w:w="1350" w:type="dxa"/>
            <w:noWrap/>
          </w:tcPr>
          <w:p w14:paraId="0381F0B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480A24A3"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FC2067F"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AMB_60</w:t>
            </w:r>
          </w:p>
        </w:tc>
        <w:tc>
          <w:tcPr>
            <w:tcW w:w="540" w:type="dxa"/>
          </w:tcPr>
          <w:p w14:paraId="618020AF"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0B72BEA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6.26</w:t>
            </w:r>
          </w:p>
        </w:tc>
        <w:tc>
          <w:tcPr>
            <w:tcW w:w="1260" w:type="dxa"/>
          </w:tcPr>
          <w:p w14:paraId="4C08E7C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0CB0B8B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4.96</w:t>
            </w:r>
          </w:p>
        </w:tc>
        <w:tc>
          <w:tcPr>
            <w:tcW w:w="1260" w:type="dxa"/>
            <w:noWrap/>
          </w:tcPr>
          <w:p w14:paraId="72AA8B1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29.918</w:t>
            </w:r>
          </w:p>
        </w:tc>
        <w:tc>
          <w:tcPr>
            <w:tcW w:w="1440" w:type="dxa"/>
            <w:noWrap/>
          </w:tcPr>
          <w:p w14:paraId="13A69F9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20.598</w:t>
            </w:r>
          </w:p>
        </w:tc>
        <w:tc>
          <w:tcPr>
            <w:tcW w:w="1350" w:type="dxa"/>
            <w:noWrap/>
          </w:tcPr>
          <w:p w14:paraId="7A451A2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0A831224"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82C5775"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AMB_61</w:t>
            </w:r>
          </w:p>
        </w:tc>
        <w:tc>
          <w:tcPr>
            <w:tcW w:w="540" w:type="dxa"/>
          </w:tcPr>
          <w:p w14:paraId="6823FFF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481F861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2.59</w:t>
            </w:r>
          </w:p>
        </w:tc>
        <w:tc>
          <w:tcPr>
            <w:tcW w:w="1260" w:type="dxa"/>
          </w:tcPr>
          <w:p w14:paraId="7C68E92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0.9988</w:t>
            </w:r>
          </w:p>
        </w:tc>
        <w:tc>
          <w:tcPr>
            <w:tcW w:w="990" w:type="dxa"/>
          </w:tcPr>
          <w:p w14:paraId="5FC4E56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24.23</w:t>
            </w:r>
          </w:p>
        </w:tc>
        <w:tc>
          <w:tcPr>
            <w:tcW w:w="1260" w:type="dxa"/>
            <w:noWrap/>
          </w:tcPr>
          <w:p w14:paraId="1FA1FD8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22.170</w:t>
            </w:r>
          </w:p>
        </w:tc>
        <w:tc>
          <w:tcPr>
            <w:tcW w:w="1440" w:type="dxa"/>
            <w:noWrap/>
          </w:tcPr>
          <w:p w14:paraId="2488251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15.360</w:t>
            </w:r>
          </w:p>
        </w:tc>
        <w:tc>
          <w:tcPr>
            <w:tcW w:w="1350" w:type="dxa"/>
            <w:noWrap/>
          </w:tcPr>
          <w:p w14:paraId="1602F524"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2AE80BF3"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615B9B0F"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AMB_62</w:t>
            </w:r>
          </w:p>
        </w:tc>
        <w:tc>
          <w:tcPr>
            <w:tcW w:w="540" w:type="dxa"/>
          </w:tcPr>
          <w:p w14:paraId="1258803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683AA74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18.01</w:t>
            </w:r>
          </w:p>
        </w:tc>
        <w:tc>
          <w:tcPr>
            <w:tcW w:w="1260" w:type="dxa"/>
          </w:tcPr>
          <w:p w14:paraId="2D31041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0.9981</w:t>
            </w:r>
          </w:p>
        </w:tc>
        <w:tc>
          <w:tcPr>
            <w:tcW w:w="990" w:type="dxa"/>
          </w:tcPr>
          <w:p w14:paraId="4C7705B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25.22</w:t>
            </w:r>
          </w:p>
        </w:tc>
        <w:tc>
          <w:tcPr>
            <w:tcW w:w="1260" w:type="dxa"/>
            <w:noWrap/>
          </w:tcPr>
          <w:p w14:paraId="0D2397D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36.660</w:t>
            </w:r>
          </w:p>
        </w:tc>
        <w:tc>
          <w:tcPr>
            <w:tcW w:w="1440" w:type="dxa"/>
            <w:noWrap/>
          </w:tcPr>
          <w:p w14:paraId="298438AB"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25.248</w:t>
            </w:r>
          </w:p>
        </w:tc>
        <w:tc>
          <w:tcPr>
            <w:tcW w:w="1350" w:type="dxa"/>
            <w:noWrap/>
          </w:tcPr>
          <w:p w14:paraId="507EC8B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W/L</w:t>
            </w:r>
          </w:p>
        </w:tc>
      </w:tr>
      <w:tr w:rsidR="000F7048" w:rsidRPr="0083621E" w14:paraId="76F8FE58"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231F2479"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AMB_63</w:t>
            </w:r>
          </w:p>
        </w:tc>
        <w:tc>
          <w:tcPr>
            <w:tcW w:w="540" w:type="dxa"/>
          </w:tcPr>
          <w:p w14:paraId="7CC6FC76"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78D0382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4.50</w:t>
            </w:r>
          </w:p>
        </w:tc>
        <w:tc>
          <w:tcPr>
            <w:tcW w:w="1260" w:type="dxa"/>
          </w:tcPr>
          <w:p w14:paraId="6706D84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0.9994</w:t>
            </w:r>
          </w:p>
        </w:tc>
        <w:tc>
          <w:tcPr>
            <w:tcW w:w="990" w:type="dxa"/>
          </w:tcPr>
          <w:p w14:paraId="0CA3165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25.16</w:t>
            </w:r>
          </w:p>
        </w:tc>
        <w:tc>
          <w:tcPr>
            <w:tcW w:w="1260" w:type="dxa"/>
            <w:noWrap/>
          </w:tcPr>
          <w:p w14:paraId="679D1AE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11.387</w:t>
            </w:r>
          </w:p>
        </w:tc>
        <w:tc>
          <w:tcPr>
            <w:tcW w:w="1440" w:type="dxa"/>
            <w:noWrap/>
          </w:tcPr>
          <w:p w14:paraId="111E60E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8.623</w:t>
            </w:r>
          </w:p>
        </w:tc>
        <w:tc>
          <w:tcPr>
            <w:tcW w:w="1350" w:type="dxa"/>
            <w:noWrap/>
          </w:tcPr>
          <w:p w14:paraId="5577FB8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0F9FF245"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9427ECA"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AMB_64</w:t>
            </w:r>
          </w:p>
        </w:tc>
        <w:tc>
          <w:tcPr>
            <w:tcW w:w="540" w:type="dxa"/>
          </w:tcPr>
          <w:p w14:paraId="1706D8F0"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7CBD229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6.49</w:t>
            </w:r>
          </w:p>
        </w:tc>
        <w:tc>
          <w:tcPr>
            <w:tcW w:w="1260" w:type="dxa"/>
          </w:tcPr>
          <w:p w14:paraId="7EE4C58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0.9977</w:t>
            </w:r>
          </w:p>
        </w:tc>
        <w:tc>
          <w:tcPr>
            <w:tcW w:w="990" w:type="dxa"/>
          </w:tcPr>
          <w:p w14:paraId="297BDC8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5.64</w:t>
            </w:r>
          </w:p>
        </w:tc>
        <w:tc>
          <w:tcPr>
            <w:tcW w:w="1260" w:type="dxa"/>
            <w:noWrap/>
          </w:tcPr>
          <w:p w14:paraId="0FC848AB"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17.274</w:t>
            </w:r>
          </w:p>
        </w:tc>
        <w:tc>
          <w:tcPr>
            <w:tcW w:w="1440" w:type="dxa"/>
            <w:noWrap/>
          </w:tcPr>
          <w:p w14:paraId="119873E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11.996</w:t>
            </w:r>
          </w:p>
        </w:tc>
        <w:tc>
          <w:tcPr>
            <w:tcW w:w="1350" w:type="dxa"/>
            <w:noWrap/>
          </w:tcPr>
          <w:p w14:paraId="20A25B9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5D3403EF"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061DE8B5"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AMB_65</w:t>
            </w:r>
          </w:p>
        </w:tc>
        <w:tc>
          <w:tcPr>
            <w:tcW w:w="540" w:type="dxa"/>
          </w:tcPr>
          <w:p w14:paraId="44751E9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5C23D24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9.24</w:t>
            </w:r>
          </w:p>
        </w:tc>
        <w:tc>
          <w:tcPr>
            <w:tcW w:w="1260" w:type="dxa"/>
          </w:tcPr>
          <w:p w14:paraId="65471A4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0.9995</w:t>
            </w:r>
          </w:p>
        </w:tc>
        <w:tc>
          <w:tcPr>
            <w:tcW w:w="990" w:type="dxa"/>
          </w:tcPr>
          <w:p w14:paraId="73C7F4E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7.39</w:t>
            </w:r>
          </w:p>
        </w:tc>
        <w:tc>
          <w:tcPr>
            <w:tcW w:w="1260" w:type="dxa"/>
            <w:noWrap/>
          </w:tcPr>
          <w:p w14:paraId="590A227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27.200</w:t>
            </w:r>
          </w:p>
        </w:tc>
        <w:tc>
          <w:tcPr>
            <w:tcW w:w="1440" w:type="dxa"/>
            <w:noWrap/>
          </w:tcPr>
          <w:p w14:paraId="74D9416A"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19.040</w:t>
            </w:r>
          </w:p>
        </w:tc>
        <w:tc>
          <w:tcPr>
            <w:tcW w:w="1350" w:type="dxa"/>
            <w:noWrap/>
          </w:tcPr>
          <w:p w14:paraId="4DAF67F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7B0AD07C"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2F87D12D"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AMB_66</w:t>
            </w:r>
          </w:p>
        </w:tc>
        <w:tc>
          <w:tcPr>
            <w:tcW w:w="540" w:type="dxa"/>
          </w:tcPr>
          <w:p w14:paraId="08706DA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5C2BBCB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4.72</w:t>
            </w:r>
          </w:p>
        </w:tc>
        <w:tc>
          <w:tcPr>
            <w:tcW w:w="1260" w:type="dxa"/>
          </w:tcPr>
          <w:p w14:paraId="14F3ADE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6362F5D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25.18</w:t>
            </w:r>
          </w:p>
        </w:tc>
        <w:tc>
          <w:tcPr>
            <w:tcW w:w="1260" w:type="dxa"/>
            <w:noWrap/>
          </w:tcPr>
          <w:p w14:paraId="667F310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61.599</w:t>
            </w:r>
          </w:p>
        </w:tc>
        <w:tc>
          <w:tcPr>
            <w:tcW w:w="1440" w:type="dxa"/>
            <w:noWrap/>
          </w:tcPr>
          <w:p w14:paraId="388871D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41.574</w:t>
            </w:r>
          </w:p>
        </w:tc>
        <w:tc>
          <w:tcPr>
            <w:tcW w:w="1350" w:type="dxa"/>
            <w:noWrap/>
          </w:tcPr>
          <w:p w14:paraId="6583596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L/L</w:t>
            </w:r>
          </w:p>
        </w:tc>
      </w:tr>
      <w:tr w:rsidR="000F7048" w:rsidRPr="0083621E" w14:paraId="73DBBA32"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68ED2B17"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AMB_67</w:t>
            </w:r>
          </w:p>
        </w:tc>
        <w:tc>
          <w:tcPr>
            <w:tcW w:w="540" w:type="dxa"/>
          </w:tcPr>
          <w:p w14:paraId="6D9B0FE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70BE2F77"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7.89</w:t>
            </w:r>
          </w:p>
        </w:tc>
        <w:tc>
          <w:tcPr>
            <w:tcW w:w="1260" w:type="dxa"/>
          </w:tcPr>
          <w:p w14:paraId="4B2FCF8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0.9990</w:t>
            </w:r>
          </w:p>
        </w:tc>
        <w:tc>
          <w:tcPr>
            <w:tcW w:w="990" w:type="dxa"/>
          </w:tcPr>
          <w:p w14:paraId="043A670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25.13</w:t>
            </w:r>
          </w:p>
        </w:tc>
        <w:tc>
          <w:tcPr>
            <w:tcW w:w="1260" w:type="dxa"/>
            <w:noWrap/>
          </w:tcPr>
          <w:p w14:paraId="4F8E8B3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17.518</w:t>
            </w:r>
          </w:p>
        </w:tc>
        <w:tc>
          <w:tcPr>
            <w:tcW w:w="1440" w:type="dxa"/>
            <w:noWrap/>
          </w:tcPr>
          <w:p w14:paraId="2A7EE45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12.255</w:t>
            </w:r>
          </w:p>
        </w:tc>
        <w:tc>
          <w:tcPr>
            <w:tcW w:w="1350" w:type="dxa"/>
            <w:noWrap/>
          </w:tcPr>
          <w:p w14:paraId="610ABC0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L/W</w:t>
            </w:r>
          </w:p>
        </w:tc>
      </w:tr>
      <w:tr w:rsidR="000F7048" w:rsidRPr="0083621E" w14:paraId="3E01D3B4"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F82FAB6"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AMB_68</w:t>
            </w:r>
          </w:p>
        </w:tc>
        <w:tc>
          <w:tcPr>
            <w:tcW w:w="540" w:type="dxa"/>
          </w:tcPr>
          <w:p w14:paraId="6ED8FD58"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F</w:t>
            </w:r>
          </w:p>
        </w:tc>
        <w:tc>
          <w:tcPr>
            <w:tcW w:w="900" w:type="dxa"/>
          </w:tcPr>
          <w:p w14:paraId="157C0205"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2.92</w:t>
            </w:r>
          </w:p>
        </w:tc>
        <w:tc>
          <w:tcPr>
            <w:tcW w:w="1260" w:type="dxa"/>
          </w:tcPr>
          <w:p w14:paraId="516646C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0.9995</w:t>
            </w:r>
          </w:p>
        </w:tc>
        <w:tc>
          <w:tcPr>
            <w:tcW w:w="990" w:type="dxa"/>
          </w:tcPr>
          <w:p w14:paraId="5BB5BBF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24.29</w:t>
            </w:r>
          </w:p>
        </w:tc>
        <w:tc>
          <w:tcPr>
            <w:tcW w:w="1260" w:type="dxa"/>
            <w:noWrap/>
          </w:tcPr>
          <w:p w14:paraId="65F81E9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18.857</w:t>
            </w:r>
          </w:p>
        </w:tc>
        <w:tc>
          <w:tcPr>
            <w:tcW w:w="1440" w:type="dxa"/>
            <w:noWrap/>
          </w:tcPr>
          <w:p w14:paraId="7ABA3B0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13.200</w:t>
            </w:r>
          </w:p>
        </w:tc>
        <w:tc>
          <w:tcPr>
            <w:tcW w:w="1350" w:type="dxa"/>
            <w:noWrap/>
          </w:tcPr>
          <w:p w14:paraId="55767F6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3FD428F8"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672378F4"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AMB_69</w:t>
            </w:r>
          </w:p>
        </w:tc>
        <w:tc>
          <w:tcPr>
            <w:tcW w:w="540" w:type="dxa"/>
          </w:tcPr>
          <w:p w14:paraId="56E41D4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M</w:t>
            </w:r>
          </w:p>
        </w:tc>
        <w:tc>
          <w:tcPr>
            <w:tcW w:w="900" w:type="dxa"/>
          </w:tcPr>
          <w:p w14:paraId="08450C0F"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7.58</w:t>
            </w:r>
          </w:p>
        </w:tc>
        <w:tc>
          <w:tcPr>
            <w:tcW w:w="1260" w:type="dxa"/>
          </w:tcPr>
          <w:p w14:paraId="5BEC634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0.9987</w:t>
            </w:r>
          </w:p>
        </w:tc>
        <w:tc>
          <w:tcPr>
            <w:tcW w:w="990" w:type="dxa"/>
          </w:tcPr>
          <w:p w14:paraId="16AA8899"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7.29</w:t>
            </w:r>
          </w:p>
        </w:tc>
        <w:tc>
          <w:tcPr>
            <w:tcW w:w="1260" w:type="dxa"/>
            <w:noWrap/>
          </w:tcPr>
          <w:p w14:paraId="27470038"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17.789</w:t>
            </w:r>
          </w:p>
        </w:tc>
        <w:tc>
          <w:tcPr>
            <w:tcW w:w="1440" w:type="dxa"/>
            <w:noWrap/>
          </w:tcPr>
          <w:p w14:paraId="69E02561"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11.953</w:t>
            </w:r>
          </w:p>
        </w:tc>
        <w:tc>
          <w:tcPr>
            <w:tcW w:w="1350" w:type="dxa"/>
            <w:noWrap/>
          </w:tcPr>
          <w:p w14:paraId="5706ED8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W/W</w:t>
            </w:r>
          </w:p>
        </w:tc>
      </w:tr>
      <w:tr w:rsidR="000F7048" w:rsidRPr="0083621E" w14:paraId="1A37BC1D"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9347767" w14:textId="77777777" w:rsidR="000F7048" w:rsidRPr="0083621E" w:rsidRDefault="000F7048" w:rsidP="00F43643">
            <w:pPr>
              <w:jc w:val="center"/>
              <w:rPr>
                <w:rFonts w:ascii="Arial" w:eastAsia="Times New Roman" w:hAnsi="Arial" w:cs="Arial"/>
                <w:sz w:val="18"/>
                <w:szCs w:val="18"/>
              </w:rPr>
            </w:pPr>
          </w:p>
        </w:tc>
        <w:tc>
          <w:tcPr>
            <w:tcW w:w="540" w:type="dxa"/>
          </w:tcPr>
          <w:p w14:paraId="7CD584EE"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900" w:type="dxa"/>
          </w:tcPr>
          <w:p w14:paraId="2659887D"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260" w:type="dxa"/>
          </w:tcPr>
          <w:p w14:paraId="53D5D7C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990" w:type="dxa"/>
          </w:tcPr>
          <w:p w14:paraId="4DC41296"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260" w:type="dxa"/>
            <w:noWrap/>
          </w:tcPr>
          <w:p w14:paraId="7609D2CA"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bCs/>
                <w:sz w:val="18"/>
                <w:szCs w:val="18"/>
              </w:rPr>
              <w:t> </w:t>
            </w:r>
          </w:p>
        </w:tc>
        <w:tc>
          <w:tcPr>
            <w:tcW w:w="1440" w:type="dxa"/>
            <w:noWrap/>
          </w:tcPr>
          <w:p w14:paraId="71E88877"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 </w:t>
            </w:r>
          </w:p>
        </w:tc>
        <w:tc>
          <w:tcPr>
            <w:tcW w:w="1350" w:type="dxa"/>
            <w:noWrap/>
          </w:tcPr>
          <w:p w14:paraId="00C82B7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r>
      <w:tr w:rsidR="000F7048" w:rsidRPr="0083621E" w14:paraId="7DC69C81" w14:textId="77777777" w:rsidTr="003E5F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67385623"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Mean</w:t>
            </w:r>
          </w:p>
        </w:tc>
        <w:tc>
          <w:tcPr>
            <w:tcW w:w="540" w:type="dxa"/>
          </w:tcPr>
          <w:p w14:paraId="774D6B7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900" w:type="dxa"/>
          </w:tcPr>
          <w:p w14:paraId="7021C325"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7.45</w:t>
            </w:r>
          </w:p>
        </w:tc>
        <w:tc>
          <w:tcPr>
            <w:tcW w:w="1260" w:type="dxa"/>
          </w:tcPr>
          <w:p w14:paraId="5A4864BE"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0.9965</w:t>
            </w:r>
          </w:p>
        </w:tc>
        <w:tc>
          <w:tcPr>
            <w:tcW w:w="990" w:type="dxa"/>
          </w:tcPr>
          <w:p w14:paraId="264DA212"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19.53</w:t>
            </w:r>
          </w:p>
        </w:tc>
        <w:tc>
          <w:tcPr>
            <w:tcW w:w="1260" w:type="dxa"/>
            <w:noWrap/>
          </w:tcPr>
          <w:p w14:paraId="0B4F463D"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bCs/>
                <w:sz w:val="18"/>
                <w:szCs w:val="18"/>
              </w:rPr>
              <w:t>27.2465</w:t>
            </w:r>
          </w:p>
        </w:tc>
        <w:tc>
          <w:tcPr>
            <w:tcW w:w="1440" w:type="dxa"/>
            <w:noWrap/>
          </w:tcPr>
          <w:p w14:paraId="7B464063"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18.8260</w:t>
            </w:r>
          </w:p>
        </w:tc>
        <w:tc>
          <w:tcPr>
            <w:tcW w:w="1350" w:type="dxa"/>
            <w:noWrap/>
          </w:tcPr>
          <w:p w14:paraId="512118F0" w14:textId="77777777" w:rsidR="000F7048" w:rsidRPr="0083621E" w:rsidRDefault="000F7048" w:rsidP="00F436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r>
      <w:tr w:rsidR="000F7048" w:rsidRPr="0083621E" w14:paraId="32536A8C" w14:textId="77777777" w:rsidTr="003E5F54">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476F0197" w14:textId="77777777" w:rsidR="000F7048" w:rsidRPr="0083621E" w:rsidRDefault="000F7048" w:rsidP="00F43643">
            <w:pPr>
              <w:jc w:val="center"/>
              <w:rPr>
                <w:rFonts w:ascii="Arial" w:eastAsia="Times New Roman" w:hAnsi="Arial" w:cs="Arial"/>
                <w:sz w:val="18"/>
                <w:szCs w:val="18"/>
              </w:rPr>
            </w:pPr>
            <w:r w:rsidRPr="0083621E">
              <w:rPr>
                <w:rFonts w:ascii="Arial" w:eastAsia="Times New Roman" w:hAnsi="Arial" w:cs="Arial"/>
                <w:sz w:val="18"/>
                <w:szCs w:val="18"/>
              </w:rPr>
              <w:t>Standard deviation</w:t>
            </w:r>
          </w:p>
        </w:tc>
        <w:tc>
          <w:tcPr>
            <w:tcW w:w="540" w:type="dxa"/>
          </w:tcPr>
          <w:p w14:paraId="089CDA19"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900" w:type="dxa"/>
          </w:tcPr>
          <w:p w14:paraId="0467953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4.01</w:t>
            </w:r>
          </w:p>
        </w:tc>
        <w:tc>
          <w:tcPr>
            <w:tcW w:w="1260" w:type="dxa"/>
          </w:tcPr>
          <w:p w14:paraId="14D38E23"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0.0051</w:t>
            </w:r>
          </w:p>
        </w:tc>
        <w:tc>
          <w:tcPr>
            <w:tcW w:w="990" w:type="dxa"/>
          </w:tcPr>
          <w:p w14:paraId="13008891"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8.38</w:t>
            </w:r>
          </w:p>
        </w:tc>
        <w:tc>
          <w:tcPr>
            <w:tcW w:w="1260" w:type="dxa"/>
            <w:noWrap/>
          </w:tcPr>
          <w:p w14:paraId="1683F0D4"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bCs/>
                <w:sz w:val="18"/>
                <w:szCs w:val="18"/>
              </w:rPr>
              <w:t>13.6195</w:t>
            </w:r>
          </w:p>
        </w:tc>
        <w:tc>
          <w:tcPr>
            <w:tcW w:w="1440" w:type="dxa"/>
            <w:noWrap/>
          </w:tcPr>
          <w:p w14:paraId="5EBAB9CC"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3621E">
              <w:rPr>
                <w:rFonts w:ascii="Arial" w:eastAsia="Times New Roman" w:hAnsi="Arial" w:cs="Arial"/>
                <w:sz w:val="18"/>
                <w:szCs w:val="18"/>
              </w:rPr>
              <w:t>8.9361</w:t>
            </w:r>
          </w:p>
        </w:tc>
        <w:tc>
          <w:tcPr>
            <w:tcW w:w="1350" w:type="dxa"/>
            <w:noWrap/>
          </w:tcPr>
          <w:p w14:paraId="3C76BD92" w14:textId="77777777" w:rsidR="000F7048" w:rsidRPr="0083621E" w:rsidRDefault="000F7048" w:rsidP="00F436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r>
    </w:tbl>
    <w:p w14:paraId="452B54E6" w14:textId="77777777" w:rsidR="000F7048" w:rsidRPr="00A50C1F" w:rsidRDefault="000F7048" w:rsidP="000F7048">
      <w:pPr>
        <w:rPr>
          <w:rFonts w:ascii="Arial" w:hAnsi="Arial" w:cs="Arial"/>
          <w:sz w:val="18"/>
          <w:szCs w:val="18"/>
        </w:rPr>
      </w:pPr>
      <w:r w:rsidRPr="00A50C1F">
        <w:rPr>
          <w:rFonts w:ascii="Arial" w:hAnsi="Arial" w:cs="Arial"/>
          <w:sz w:val="18"/>
          <w:szCs w:val="18"/>
          <w:vertAlign w:val="superscript"/>
        </w:rPr>
        <w:t>1</w:t>
      </w:r>
      <w:r w:rsidRPr="00A50C1F">
        <w:rPr>
          <w:rFonts w:ascii="Arial" w:hAnsi="Arial" w:cs="Arial"/>
          <w:sz w:val="18"/>
          <w:szCs w:val="18"/>
        </w:rPr>
        <w:t xml:space="preserve"> To calculate bisulfite conversion rates</w:t>
      </w:r>
      <w:r>
        <w:rPr>
          <w:rFonts w:ascii="Arial" w:hAnsi="Arial" w:cs="Arial"/>
          <w:sz w:val="18"/>
          <w:szCs w:val="18"/>
        </w:rPr>
        <w:t>,</w:t>
      </w:r>
      <w:r w:rsidRPr="00A50C1F">
        <w:rPr>
          <w:rFonts w:ascii="Arial" w:hAnsi="Arial" w:cs="Arial"/>
          <w:sz w:val="18"/>
          <w:szCs w:val="18"/>
        </w:rPr>
        <w:t xml:space="preserve"> we mapped the sequencing data, for each individual separately, to the lambda phage genome. We then summed (i) the number of reads that mapped to lambda phage CpG sites and were read as thymine (reflecting an unmethylated cytosine converted to thymine); and (ii) the total number of reads that mapped to lambda phage CpG sites. Because all CpG sites in the lam</w:t>
      </w:r>
      <w:r>
        <w:rPr>
          <w:rFonts w:ascii="Arial" w:hAnsi="Arial" w:cs="Arial"/>
          <w:sz w:val="18"/>
          <w:szCs w:val="18"/>
        </w:rPr>
        <w:t>b</w:t>
      </w:r>
      <w:r w:rsidRPr="00A50C1F">
        <w:rPr>
          <w:rFonts w:ascii="Arial" w:hAnsi="Arial" w:cs="Arial"/>
          <w:sz w:val="18"/>
          <w:szCs w:val="18"/>
        </w:rPr>
        <w:t xml:space="preserve">da phage genome were completely unmethylated (and should thus </w:t>
      </w:r>
      <w:r>
        <w:rPr>
          <w:rFonts w:ascii="Arial" w:hAnsi="Arial" w:cs="Arial"/>
          <w:sz w:val="18"/>
          <w:szCs w:val="18"/>
        </w:rPr>
        <w:t xml:space="preserve">have </w:t>
      </w:r>
      <w:r w:rsidRPr="00A50C1F">
        <w:rPr>
          <w:rFonts w:ascii="Arial" w:hAnsi="Arial" w:cs="Arial"/>
          <w:sz w:val="18"/>
          <w:szCs w:val="18"/>
        </w:rPr>
        <w:t>be</w:t>
      </w:r>
      <w:r>
        <w:rPr>
          <w:rFonts w:ascii="Arial" w:hAnsi="Arial" w:cs="Arial"/>
          <w:sz w:val="18"/>
          <w:szCs w:val="18"/>
        </w:rPr>
        <w:t>en</w:t>
      </w:r>
      <w:r w:rsidRPr="00A50C1F">
        <w:rPr>
          <w:rFonts w:ascii="Arial" w:hAnsi="Arial" w:cs="Arial"/>
          <w:sz w:val="18"/>
          <w:szCs w:val="18"/>
        </w:rPr>
        <w:t xml:space="preserve"> converted to thymine), the ratio of these two sums gives us the efficiency of the bisulfite conversion. Here, a ratio of 1 would represent perfect conversion of every unmethylated cytosine to thymine.   </w:t>
      </w:r>
    </w:p>
    <w:p w14:paraId="2A64E5CE" w14:textId="77777777" w:rsidR="000F7048" w:rsidRPr="000F660F" w:rsidRDefault="000F7048" w:rsidP="000F7048">
      <w:pPr>
        <w:rPr>
          <w:rFonts w:ascii="Arial" w:hAnsi="Arial" w:cs="Arial"/>
          <w:sz w:val="18"/>
          <w:szCs w:val="18"/>
        </w:rPr>
      </w:pPr>
      <w:r>
        <w:rPr>
          <w:rFonts w:ascii="Arial" w:hAnsi="Arial" w:cs="Arial"/>
          <w:sz w:val="18"/>
          <w:szCs w:val="18"/>
          <w:vertAlign w:val="superscript"/>
        </w:rPr>
        <w:t>2</w:t>
      </w:r>
      <w:r w:rsidRPr="0014091A">
        <w:rPr>
          <w:rFonts w:ascii="Arial" w:hAnsi="Arial" w:cs="Arial"/>
          <w:sz w:val="18"/>
          <w:szCs w:val="18"/>
        </w:rPr>
        <w:t xml:space="preserve"> </w:t>
      </w:r>
      <w:r>
        <w:rPr>
          <w:rFonts w:ascii="Arial" w:hAnsi="Arial" w:cs="Arial"/>
          <w:sz w:val="18"/>
          <w:szCs w:val="18"/>
        </w:rPr>
        <w:t xml:space="preserve">Years from collection of blood sample to RRBS library construction </w:t>
      </w:r>
    </w:p>
    <w:p w14:paraId="7BD0D90A" w14:textId="77777777" w:rsidR="000F7048" w:rsidRDefault="000F7048" w:rsidP="000F7048">
      <w:pPr>
        <w:rPr>
          <w:rFonts w:ascii="Arial" w:hAnsi="Arial" w:cs="Arial"/>
          <w:sz w:val="18"/>
          <w:szCs w:val="18"/>
        </w:rPr>
      </w:pPr>
      <w:r>
        <w:rPr>
          <w:rFonts w:ascii="Arial" w:hAnsi="Arial" w:cs="Arial"/>
          <w:sz w:val="18"/>
          <w:szCs w:val="18"/>
          <w:vertAlign w:val="superscript"/>
        </w:rPr>
        <w:t>3</w:t>
      </w:r>
      <w:r w:rsidRPr="00A50C1F">
        <w:rPr>
          <w:rFonts w:ascii="Arial" w:hAnsi="Arial" w:cs="Arial"/>
          <w:sz w:val="18"/>
          <w:szCs w:val="18"/>
        </w:rPr>
        <w:t xml:space="preserve"> L = Lodge group; W = wild-feeding group</w:t>
      </w:r>
    </w:p>
    <w:p w14:paraId="1623403C" w14:textId="77777777" w:rsidR="000F7048" w:rsidRDefault="000F7048" w:rsidP="000F7048">
      <w:pPr>
        <w:rPr>
          <w:rFonts w:ascii="Arial" w:hAnsi="Arial" w:cs="Arial"/>
          <w:sz w:val="18"/>
          <w:szCs w:val="18"/>
        </w:rPr>
      </w:pPr>
    </w:p>
    <w:p w14:paraId="6163EAFA" w14:textId="77777777" w:rsidR="000F7048" w:rsidRDefault="000F7048" w:rsidP="000F7048">
      <w:pPr>
        <w:rPr>
          <w:rFonts w:ascii="Arial" w:eastAsiaTheme="majorEastAsia" w:hAnsi="Arial" w:cs="Arial"/>
          <w:b/>
          <w:bCs/>
          <w:sz w:val="22"/>
          <w:szCs w:val="22"/>
        </w:rPr>
      </w:pPr>
      <w:r>
        <w:br w:type="page"/>
      </w:r>
    </w:p>
    <w:p w14:paraId="513A66F7" w14:textId="77777777" w:rsidR="000F7048" w:rsidRDefault="000F7048" w:rsidP="000F7048">
      <w:pPr>
        <w:pStyle w:val="Heading1"/>
        <w:spacing w:line="240" w:lineRule="auto"/>
      </w:pPr>
      <w:bookmarkStart w:id="51" w:name="_Toc306792093"/>
      <w:bookmarkStart w:id="52" w:name="_Toc306797764"/>
      <w:r w:rsidRPr="00A50C1F">
        <w:lastRenderedPageBreak/>
        <w:t xml:space="preserve">Table </w:t>
      </w:r>
      <w:r>
        <w:t>S3</w:t>
      </w:r>
      <w:r w:rsidRPr="00A50C1F">
        <w:t>. Differentially methylated regions.</w:t>
      </w:r>
      <w:bookmarkEnd w:id="51"/>
      <w:bookmarkEnd w:id="52"/>
    </w:p>
    <w:p w14:paraId="488CEC05" w14:textId="77777777" w:rsidR="000F7048" w:rsidRPr="00100B6C" w:rsidRDefault="000F7048" w:rsidP="000F7048"/>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659"/>
        <w:gridCol w:w="1851"/>
        <w:gridCol w:w="3240"/>
      </w:tblGrid>
      <w:tr w:rsidR="000F7048" w:rsidRPr="00A50C1F" w14:paraId="6672D4AE" w14:textId="77777777" w:rsidTr="00F43643">
        <w:trPr>
          <w:trHeight w:val="638"/>
        </w:trPr>
        <w:tc>
          <w:tcPr>
            <w:tcW w:w="2178" w:type="dxa"/>
            <w:vAlign w:val="center"/>
          </w:tcPr>
          <w:p w14:paraId="614750EF" w14:textId="77777777" w:rsidR="000F7048" w:rsidRPr="00A50C1F" w:rsidRDefault="000F7048" w:rsidP="00F43643">
            <w:pPr>
              <w:jc w:val="center"/>
              <w:rPr>
                <w:rFonts w:ascii="Arial" w:hAnsi="Arial" w:cs="Arial"/>
                <w:sz w:val="18"/>
                <w:szCs w:val="18"/>
              </w:rPr>
            </w:pPr>
            <w:r w:rsidRPr="00F50D94">
              <w:rPr>
                <w:rFonts w:ascii="Arial" w:hAnsi="Arial" w:cs="Arial"/>
                <w:sz w:val="18"/>
                <w:szCs w:val="18"/>
              </w:rPr>
              <w:t>DMR coordinates</w:t>
            </w:r>
          </w:p>
        </w:tc>
        <w:tc>
          <w:tcPr>
            <w:tcW w:w="1659" w:type="dxa"/>
            <w:vAlign w:val="center"/>
          </w:tcPr>
          <w:p w14:paraId="07F8C7DB" w14:textId="77777777" w:rsidR="000F7048" w:rsidRPr="00A50C1F" w:rsidRDefault="000F7048" w:rsidP="00F43643">
            <w:pPr>
              <w:jc w:val="center"/>
              <w:rPr>
                <w:rFonts w:ascii="Arial" w:hAnsi="Arial" w:cs="Arial"/>
                <w:sz w:val="18"/>
                <w:szCs w:val="18"/>
              </w:rPr>
            </w:pPr>
            <w:r>
              <w:rPr>
                <w:rFonts w:ascii="Arial" w:hAnsi="Arial" w:cs="Arial"/>
                <w:sz w:val="18"/>
                <w:szCs w:val="18"/>
              </w:rPr>
              <w:t>D</w:t>
            </w:r>
            <w:r w:rsidRPr="00F50D94">
              <w:rPr>
                <w:rFonts w:ascii="Arial" w:hAnsi="Arial" w:cs="Arial"/>
                <w:sz w:val="18"/>
                <w:szCs w:val="18"/>
              </w:rPr>
              <w:t>ifferentially methylated sites (</w:t>
            </w:r>
            <w:r>
              <w:rPr>
                <w:rFonts w:ascii="Arial" w:hAnsi="Arial" w:cs="Arial"/>
                <w:sz w:val="18"/>
                <w:szCs w:val="18"/>
              </w:rPr>
              <w:t>10% FDR</w:t>
            </w:r>
            <w:r w:rsidRPr="00F50D94">
              <w:rPr>
                <w:rFonts w:ascii="Arial" w:hAnsi="Arial" w:cs="Arial"/>
                <w:sz w:val="18"/>
                <w:szCs w:val="18"/>
              </w:rPr>
              <w:t>)</w:t>
            </w:r>
          </w:p>
        </w:tc>
        <w:tc>
          <w:tcPr>
            <w:tcW w:w="1851" w:type="dxa"/>
            <w:vAlign w:val="center"/>
          </w:tcPr>
          <w:p w14:paraId="6E17C6AA" w14:textId="77777777" w:rsidR="000F7048" w:rsidRPr="00A50C1F" w:rsidRDefault="000F7048" w:rsidP="00F43643">
            <w:pPr>
              <w:jc w:val="center"/>
              <w:rPr>
                <w:rFonts w:ascii="Arial" w:hAnsi="Arial" w:cs="Arial"/>
                <w:sz w:val="18"/>
                <w:szCs w:val="18"/>
              </w:rPr>
            </w:pPr>
            <w:r w:rsidRPr="00F50D94">
              <w:rPr>
                <w:rFonts w:ascii="Arial" w:hAnsi="Arial" w:cs="Arial"/>
                <w:sz w:val="18"/>
                <w:szCs w:val="18"/>
              </w:rPr>
              <w:t>Closest gene (within 100kb)</w:t>
            </w:r>
          </w:p>
        </w:tc>
        <w:tc>
          <w:tcPr>
            <w:tcW w:w="3240" w:type="dxa"/>
            <w:vAlign w:val="center"/>
          </w:tcPr>
          <w:p w14:paraId="212D6B1C" w14:textId="77777777" w:rsidR="000F7048" w:rsidRPr="00A50C1F" w:rsidRDefault="000F7048" w:rsidP="00F43643">
            <w:pPr>
              <w:jc w:val="center"/>
              <w:rPr>
                <w:rFonts w:ascii="Arial" w:hAnsi="Arial" w:cs="Arial"/>
                <w:sz w:val="18"/>
                <w:szCs w:val="18"/>
              </w:rPr>
            </w:pPr>
            <w:r w:rsidRPr="00F50D94">
              <w:rPr>
                <w:rFonts w:ascii="Arial" w:hAnsi="Arial" w:cs="Arial"/>
                <w:sz w:val="18"/>
                <w:szCs w:val="18"/>
              </w:rPr>
              <w:t>Phenotypes associated with genetic variation at this gene</w:t>
            </w:r>
            <w:r>
              <w:rPr>
                <w:rFonts w:ascii="Arial" w:hAnsi="Arial" w:cs="Arial"/>
                <w:sz w:val="18"/>
                <w:szCs w:val="18"/>
              </w:rPr>
              <w:t xml:space="preserve"> (in humans)</w:t>
            </w:r>
          </w:p>
        </w:tc>
      </w:tr>
      <w:tr w:rsidR="000F7048" w:rsidRPr="00F50D94" w14:paraId="4265BD83" w14:textId="77777777" w:rsidTr="00F43643">
        <w:trPr>
          <w:trHeight w:val="404"/>
        </w:trPr>
        <w:tc>
          <w:tcPr>
            <w:tcW w:w="2178" w:type="dxa"/>
            <w:vAlign w:val="center"/>
          </w:tcPr>
          <w:p w14:paraId="5E560A4D"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w:t>
            </w:r>
          </w:p>
          <w:p w14:paraId="25D605D0"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 xml:space="preserve">17489362 </w:t>
            </w:r>
            <w:r w:rsidRPr="00100B6C">
              <w:rPr>
                <w:rFonts w:ascii="Arial" w:hAnsi="Arial" w:cs="Arial"/>
                <w:sz w:val="18"/>
                <w:szCs w:val="18"/>
              </w:rPr>
              <w:t xml:space="preserve">- </w:t>
            </w:r>
            <w:r w:rsidRPr="00100B6C">
              <w:rPr>
                <w:rFonts w:ascii="Arial" w:eastAsia="Times New Roman" w:hAnsi="Arial" w:cs="Arial"/>
                <w:sz w:val="18"/>
                <w:szCs w:val="18"/>
              </w:rPr>
              <w:t>17491377</w:t>
            </w:r>
          </w:p>
        </w:tc>
        <w:tc>
          <w:tcPr>
            <w:tcW w:w="1659" w:type="dxa"/>
            <w:vAlign w:val="center"/>
          </w:tcPr>
          <w:p w14:paraId="1EA9CE3D"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3</w:t>
            </w:r>
          </w:p>
        </w:tc>
        <w:tc>
          <w:tcPr>
            <w:tcW w:w="1851" w:type="dxa"/>
            <w:vAlign w:val="center"/>
          </w:tcPr>
          <w:p w14:paraId="7359AD2F"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KAZN</w:t>
            </w:r>
          </w:p>
        </w:tc>
        <w:tc>
          <w:tcPr>
            <w:tcW w:w="3240" w:type="dxa"/>
            <w:vAlign w:val="center"/>
          </w:tcPr>
          <w:p w14:paraId="5255D8A9"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2C701D27" w14:textId="77777777" w:rsidTr="00F43643">
        <w:trPr>
          <w:trHeight w:val="386"/>
        </w:trPr>
        <w:tc>
          <w:tcPr>
            <w:tcW w:w="2178" w:type="dxa"/>
            <w:vAlign w:val="center"/>
          </w:tcPr>
          <w:p w14:paraId="54241691"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w:t>
            </w:r>
          </w:p>
          <w:p w14:paraId="07829990" w14:textId="77777777" w:rsidR="000F7048" w:rsidRPr="00100B6C" w:rsidRDefault="000F7048" w:rsidP="00F43643">
            <w:pPr>
              <w:jc w:val="center"/>
              <w:rPr>
                <w:rFonts w:ascii="Arial" w:hAnsi="Arial" w:cs="Arial"/>
                <w:sz w:val="18"/>
                <w:szCs w:val="18"/>
              </w:rPr>
            </w:pPr>
            <w:r w:rsidRPr="00100B6C">
              <w:rPr>
                <w:rFonts w:ascii="Arial" w:eastAsia="Times New Roman" w:hAnsi="Arial" w:cs="Arial"/>
                <w:sz w:val="18"/>
                <w:szCs w:val="18"/>
              </w:rPr>
              <w:t xml:space="preserve">17497885 </w:t>
            </w:r>
            <w:r w:rsidRPr="00100B6C">
              <w:rPr>
                <w:rFonts w:ascii="Arial" w:hAnsi="Arial" w:cs="Arial"/>
                <w:sz w:val="18"/>
                <w:szCs w:val="18"/>
              </w:rPr>
              <w:t xml:space="preserve">- </w:t>
            </w:r>
            <w:r w:rsidRPr="00100B6C">
              <w:rPr>
                <w:rFonts w:ascii="Arial" w:eastAsia="Times New Roman" w:hAnsi="Arial" w:cs="Arial"/>
                <w:sz w:val="18"/>
                <w:szCs w:val="18"/>
              </w:rPr>
              <w:t>17499900</w:t>
            </w:r>
          </w:p>
        </w:tc>
        <w:tc>
          <w:tcPr>
            <w:tcW w:w="1659" w:type="dxa"/>
            <w:vAlign w:val="center"/>
          </w:tcPr>
          <w:p w14:paraId="3849D778"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3</w:t>
            </w:r>
          </w:p>
        </w:tc>
        <w:tc>
          <w:tcPr>
            <w:tcW w:w="1851" w:type="dxa"/>
            <w:vAlign w:val="center"/>
          </w:tcPr>
          <w:p w14:paraId="03DBEC3E"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KAZN</w:t>
            </w:r>
          </w:p>
        </w:tc>
        <w:tc>
          <w:tcPr>
            <w:tcW w:w="3240" w:type="dxa"/>
            <w:vAlign w:val="center"/>
          </w:tcPr>
          <w:p w14:paraId="2702AB3D"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7E0C3155" w14:textId="77777777" w:rsidTr="00F43643">
        <w:trPr>
          <w:trHeight w:val="613"/>
        </w:trPr>
        <w:tc>
          <w:tcPr>
            <w:tcW w:w="2178" w:type="dxa"/>
            <w:vAlign w:val="center"/>
          </w:tcPr>
          <w:p w14:paraId="641B1A69"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w:t>
            </w:r>
          </w:p>
          <w:p w14:paraId="7ED125A7"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114729892</w:t>
            </w:r>
            <w:r w:rsidRPr="00100B6C">
              <w:rPr>
                <w:rFonts w:ascii="Arial" w:hAnsi="Arial" w:cs="Arial"/>
                <w:sz w:val="18"/>
                <w:szCs w:val="18"/>
              </w:rPr>
              <w:t xml:space="preserve"> - </w:t>
            </w:r>
            <w:r w:rsidRPr="00100B6C">
              <w:rPr>
                <w:rFonts w:ascii="Arial" w:eastAsia="Times New Roman" w:hAnsi="Arial" w:cs="Arial"/>
                <w:sz w:val="18"/>
                <w:szCs w:val="18"/>
              </w:rPr>
              <w:t>114731900</w:t>
            </w:r>
          </w:p>
        </w:tc>
        <w:tc>
          <w:tcPr>
            <w:tcW w:w="1659" w:type="dxa"/>
            <w:vAlign w:val="center"/>
          </w:tcPr>
          <w:p w14:paraId="389E6D02"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2</w:t>
            </w:r>
          </w:p>
        </w:tc>
        <w:tc>
          <w:tcPr>
            <w:tcW w:w="1851" w:type="dxa"/>
            <w:vAlign w:val="center"/>
          </w:tcPr>
          <w:p w14:paraId="30C8AA96"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DCLRE1B</w:t>
            </w:r>
          </w:p>
        </w:tc>
        <w:tc>
          <w:tcPr>
            <w:tcW w:w="3240" w:type="dxa"/>
            <w:vAlign w:val="center"/>
          </w:tcPr>
          <w:p w14:paraId="1D451390"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Crohn’s disease</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"10.1038/nature11582.Host-microbe", "author" : [ { "dropping-particle" : "", "family" : "Jostins", "given" : "Luke", "non-dropping-particle" : "", "parse-names" : false, "suffix" : "" }, { "dropping-particle" : "", "family" : "Ripke", "given" : "Stephan", "non-dropping-particle" : "", "parse-names" : false, "suffix" : "" }, { "dropping-particle" : "", "family" : "Weersma", "given" : "Rinse K", "non-dropping-particle" : "", "parse-names" : false, "suffix" : "" }, { "dropping-particle" : "", "family" : "Duerr", "given" : "Richard H", "non-dropping-particle" : "", "parse-names" : false, "suffix" : "" }, { "dropping-particle" : "", "family" : "McGovern", "given" : "Dermont P", "non-dropping-particle" : "", "parse-names" : false, "suffix" : "" }, { "dropping-particle" : "", "family" : "Hui", "given" : "Ken Y", "non-dropping-particle" : "", "parse-names" : false, "suffix" : "" }, { "dropping-particle" : "", "family" : "Lee", "given" : "James C", "non-dropping-particle" : "", "parse-names" : false, "suffix" : "" }, { "dropping-particle" : "", "family" : "Schumm", "given" : "L P", "non-dropping-particle" : "", "parse-names" : false, "suffix" : "" } ], "container-title" : "Nature", "id" : "ITEM-1", "issue" : "7422", "issued" : { "date-parts" : [ [ "2012" ] ] }, "page" : "119-124", "title" : "Host-microbe interactions have shaped the genetic architecture of inflammatory bowel disease", "type" : "article-journal", "volume" : "491" }, "uris" : [ "http://www.mendeley.com/documents/?uuid=b7fdb7e4-1343-484e-9bba-b54fb5fe534e" ] } ], "mendeley" : { "formattedCitation" : "[29]", "plainTextFormattedCitation" : "[29]", "previouslyFormattedCitation" : "[29]"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[29]</w:t>
            </w:r>
            <w:r>
              <w:rPr>
                <w:rFonts w:ascii="Arial" w:hAnsi="Arial" w:cs="Arial"/>
                <w:sz w:val="18"/>
                <w:szCs w:val="18"/>
              </w:rPr>
              <w:fldChar w:fldCharType="end"/>
            </w:r>
          </w:p>
        </w:tc>
      </w:tr>
      <w:tr w:rsidR="000F7048" w:rsidRPr="00F50D94" w14:paraId="00BB3F3A" w14:textId="77777777" w:rsidTr="00F43643">
        <w:trPr>
          <w:trHeight w:val="613"/>
        </w:trPr>
        <w:tc>
          <w:tcPr>
            <w:tcW w:w="2178" w:type="dxa"/>
            <w:vAlign w:val="center"/>
          </w:tcPr>
          <w:p w14:paraId="34CD88A9"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Chr11:</w:t>
            </w:r>
          </w:p>
          <w:p w14:paraId="4C007BC2"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128022967 - 128024967</w:t>
            </w:r>
          </w:p>
        </w:tc>
        <w:tc>
          <w:tcPr>
            <w:tcW w:w="1659" w:type="dxa"/>
            <w:vAlign w:val="center"/>
          </w:tcPr>
          <w:p w14:paraId="49989C70"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7EB66227"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UBAP2L</w:t>
            </w:r>
          </w:p>
        </w:tc>
        <w:tc>
          <w:tcPr>
            <w:tcW w:w="3240" w:type="dxa"/>
            <w:vAlign w:val="center"/>
          </w:tcPr>
          <w:p w14:paraId="35E080D5"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775B8A6D" w14:textId="77777777" w:rsidTr="00F43643">
        <w:trPr>
          <w:trHeight w:val="613"/>
        </w:trPr>
        <w:tc>
          <w:tcPr>
            <w:tcW w:w="2178" w:type="dxa"/>
            <w:vAlign w:val="center"/>
          </w:tcPr>
          <w:p w14:paraId="2A75515D"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Chr11:</w:t>
            </w:r>
          </w:p>
          <w:p w14:paraId="71BF2697"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129099353 - 129101353</w:t>
            </w:r>
          </w:p>
        </w:tc>
        <w:tc>
          <w:tcPr>
            <w:tcW w:w="1659" w:type="dxa"/>
            <w:vAlign w:val="center"/>
          </w:tcPr>
          <w:p w14:paraId="4D3850F9"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04874816"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SCAMP3</w:t>
            </w:r>
          </w:p>
        </w:tc>
        <w:tc>
          <w:tcPr>
            <w:tcW w:w="3240" w:type="dxa"/>
            <w:vAlign w:val="center"/>
          </w:tcPr>
          <w:p w14:paraId="54E52F7C"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Crohn’s disease</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"10.1038/ng.717", "ISBN" : "1546-1718 (Electronic) 1061-4036 (Linking)", "ISSN" : "1061-4036", "PMID" : "21102463", "abstract" : "We undertook a meta-analysis of six Crohn's disease genome-wide association studies (GWAS) comprising 6,333 affected individuals (cases) and 15,056 controls and followed up the top association signals in 15,694 cases, 14,026 controls and 414 parent-offspring trios. We identified 30 new susceptibility loci meeting genome-wide significance (P &lt; 5 \u00d7 10\u207b\u2078). A series of in silico analyses highlighted particular genes within these loci and, together with manual curation, implicated functionally interesting candidate genes including SMAD3, ERAP2, IL10, IL2RA, TYK2, FUT2, DNMT3A, DENND1B, BACH2 and TAGAP. Combined with previously confirmed loci, these results identify 71 distinct loci with genome-wide significant evidence for association with Crohn's disease.", "author" : [ { "dropping-particle" : "", "family" : "Franke", "given" : "Andre", "non-dropping-particle" : "", "parse-names" : false, "suffix" : "" }, { "dropping-particle" : "", "family" : "McGovern", "given" : "Dermot P B", "non-dropping-particle" : "", "parse-names" : false, "suffix" : "" }, { "dropping-particle" : "", "family" : "Barrett", "given" : "Jeffrey C", "non-dropping-particle" : "", "parse-names" : false, "suffix" : "" }, { "dropping-particle" : "", "family" : "Wang", "given" : "Kai", "non-dropping-particle" : "", "parse-names" : false, "suffix" : "" }, { "dropping-particle" : "", "family" : "Radford-Smith", "given" : "Graham L", "non-dropping-particle" : "", "parse-names" : false, "suffix" : "" }, { "dropping-particle" : "", "family" : "Ahmad", "given" : "Tariq", "non-dropping-particle" : "", "parse-names" : false, "suffix" : "" }, { "dropping-particle" : "", "family" : "Lees", "given" : "Charlie W", "non-dropping-particle" : "", "parse-names" : false, "suffix" : "" }, { "dropping-particle" : "", "family" : "Balschun", "given" : "Tobias", "non-dropping-particle" : "", "parse-names" : false, "suffix" : "" }, { "dropping-particle" : "", "family" : "Lee", "given" : "James", "non-dropping-particle" : "", "parse-names" : false, "suffix" : "" }, { "dropping-particle" : "", "family" : "Roberts", "given" : "Rebecca", "non-dropping-particle" : "", "parse-names" : false, "suffix" : "" }, { "dropping-particle" : "", "family" : "Anderson", "given" : "Carl a", "non-dropping-particle" : "", "parse-names" : false, "suffix" : "" }, { "dropping-particle" : "", "family" : "Bis", "given" : "Joshua C", "non-dropping-particle" : "", "parse-names" : false, "suffix" : "" }, { "dropping-particle" : "", "family" : "Bumpstead", "given" : "Suzanne", "non-dropping-particle" : "", "parse-names" : false, "suffix" : "" }, { "dropping-particle" : "", "family" : "Ellinghaus", "given" : "David", "non-dropping-particle" : "", "parse-names" : false, "suffix" : "" }, { "dropping-particle" : "", "family" : "Festen", "given" : "Eleonora M", "non-dropping-particle" : "", "parse-names" : false, "suffix" : "" }, { "dropping-particle" : "", "family" : "Georges", "given" : "Michel", "non-dropping-particle" : "", "parse-names" : false, "suffix" : "" }, { "dropping-particle" : "", "family" : "Green", "given" : "Todd", "non-dropping-particle" : "", "parse-names" : false, "suffix" : "" }, { "dropping-particle" : "", "family" : "Haritunians", "given" : "Talin", "non-dropping-particle" : "", "parse-names" : false, "suffix" : "" }, { "dropping-particle" : "", "family" : "Jostins", "given" : "Luke", "non-dropping-particle" : "", "parse-names" : false, "suffix" : "" }, { "dropping-particle" : "", "family" : "Latiano", "given" : "Anna", "non-dropping-particle" : "", "parse-names" : false, "suffix" : "" }, { "dropping-particle" : "", "family" : "Mathew", "given" : "Christopher G", "non-dropping-particle" : "", "parse-names" : false, "suffix" : "" }, { "dropping-particle" : "", "family" : "Montgomery", "given" : "Grant W", "non-dropping-particle" : "", "parse-names" : false, "suffix" : "" }, { "dropping-particle" : "", "family" : "Prescott", "given" : "Natalie J", "non-dropping-particle" : "", "parse-names" : false, "suffix" : "" }, { "dropping-particle" : "", "family" : "Raychaudhuri", "given" : "Soumya", "non-dropping-particle" : "", "parse-names" : false, "suffix" : "" }, { "dropping-particle" : "", "family" : "Rotter", "given" : "Jerome I", "non-dropping-particle" : "", "parse-names" : false, "suffix" : "" }, { "dropping-particle" : "", "family" : "Schumm", "given" : "Philip", "non-dropping-particle" : "", "parse-names" : false, "suffix" : "" }, { "dropping-particle" : "", "family" : "Sharma", "given" : "Yashoda", "non-dropping-particle" : "", "parse-names" : false, "suffix" : "" }, { "dropping-particle" : "", "family" : "Simms", "given" : "Lisa a", "non-dropping-particle" : "", "parse-names" : false, "suffix" : "" }, { "dropping-particle" : "", "family" : "Taylor", "given" : "Kent D", "non-dropping-particle" : "", "parse-names" : false, "suffix" : "" }, { "dropping-particle" : "", "family" : "Whiteman", "given" : "David", "non-dropping-particle" : "", "parse-names" : false, "suffix" : "" }, { "dropping-particle" : "", "family" : "Wijmenga", "given" : "Cisca", "non-dropping-particle" : "", "parse-names" : false, "suffix" : "" }, { "dropping-particle" : "", "family" : "Baldassano", "given" : "Robert N", "non-dropping-particle" : "", "parse-names" : false, "suffix" : "" }, { "dropping-particle" : "", "family" : "Barclay", "given" : "Murray", "non-dropping-particle" : "", "parse-names" : false, "suffix" : "" }, { "dropping-particle" : "", "family" : "Bayless", "given" : "Theodore M", "non-dropping-particle" : "", "parse-names" : false, "suffix" : "" }, { "dropping-particle" : "", "family" : "Brand", "given" : "Stephan", "non-dropping-particle" : "", "parse-names" : false, "suffix" : "" }, { "dropping-particle" : "", "family" : "B\u00fcning", "given" : "Carsten", "non-dropping-particle" : "", "parse-names" : false, "suffix" : "" }, { "dropping-particle" : "", "family" : "Cohen", "given" : "Albert", "non-dropping-particle" : "", "parse-names" : false, "suffix" : "" }, { "dropping-particle" : "", "family" : "Colombel", "given" : "Jean-Frederick", "non-dropping-particle" : "", "parse-names" : false, "suffix" : "" }, { "dropping-particle" : "", "family" : "Cottone", "given" : "Mario", "non-dropping-particle" : "", "parse-names" : false, "suffix" : "" }, { "dropping-particle" : "", "family" : "Stronati", "given" : "Laura", "non-dropping-particle" : "", "parse-names" : false, "suffix" : "" }, { "dropping-particle" : "", "family" : "Denson", "given" : "Ted", "non-dropping-particle" : "", "parse-names" : false, "suffix" : "" }, { "dropping-particle" : "", "family" : "Vos", "given" : "Martine", "non-dropping-particle" : "De", "parse-names" : false, "suffix" : "" }, { "dropping-particle" : "", "family" : "D'Inca", "given" : "Renata", "non-dropping-particle" : "", "parse-names" : false, "suffix" : "" }, { "dropping-particle" : "", "family" : "Dubinsky", "given" : "Marla", "non-dropping-particle" : "", "parse-names" : false, "suffix" : "" }, { "dropping-particle" : "", "family" : "Edwards", "given" : "Cathryn", "non-dropping-particle" : "", "parse-names" : false, "suffix" : "" }, { "dropping-particle" : "", "family" : "Florin", "given" : "Tim", "non-dropping-particle" : "", "parse-names" : false, "suffix" : "" }, { "dropping-particle" : "", "family" : "Franchimont", "given" : "Denis", "non-dropping-particle" : "", "parse-names" : false, "suffix" : "" }, { "dropping-particle" : "", "family" : "Gearry", "given" : "Richard", "non-dropping-particle" : "", "parse-names" : false, "suffix" : "" }, { "dropping-particle" : "", "family" : "Glas", "given" : "J\u00fcrgen", "non-dropping-particle" : "", "parse-names" : false, "suffix" : "" }, { "dropping-particle" : "", "family" : "Gossum", "given" : "Andre", "non-dropping-particle" : "Van", "parse-names" : false, "suffix" : "" }, { "dropping-particle" : "", "family" : "Guthery", "given" : "Stephen L", "non-dropping-particle" : "", "parse-names" : false, "suffix" : "" }, { "dropping-particle" : "", "family" : "Halfvarson", "given" : "Jonas", "non-dropping-particle" : "", "parse-names" : false, "suffix" : "" }, { "dropping-particle" : "", "family" : "Verspaget", "given" : "Hein W", "non-dropping-particle" : "", "parse-names" : false, "suffix" : "" }, { "dropping-particle" : "", "family" : "Hugot", "given" : "Jean-Pierre", "non-dropping-particle" : "", "parse-names" : false, "suffix" : "" }, { "dropping-particle" : "", "family" : "Karban", "given" : "Amir", "non-dropping-particle" : "", "parse-names" : false, "suffix" : "" }, { "dropping-particle" : "", "family" : "Laukens", "given" : "Debby", "non-dropping-particle" : "", "parse-names" : false, "suffix" : "" }, { "dropping-particle" : "", "family" : "Lawrance", "given" : "Ian", "non-dropping-particle" : "", "parse-names" : false, "suffix" : "" }, { "dropping-particle" : "", "family" : "Lemann", "given" : "Marc", "non-dropping-particle" : "", "parse-names" : false, "suffix" : "" }, { "dropping-particle" : "", "family" : "Levine", "given" : "Arie", "non-dropping-particle" : "", "parse-names" : false, "suffix" : "" }, { "dropping-particle" : "", "family" : "Libioulle", "given" : "Cecile", "non-dropping-particle" : "", "parse-names" : false, "suffix" : "" }, { "dropping-particle" : "", "family" : "Louis", "given" : "Edouard", "non-dropping-particle" : "", "parse-names" : false, "suffix" : "" }, { "dropping-particle" : "", "family" : "Mowat", "given" : "Craig", "non-dropping-particle" : "", "parse-names" : false, "suffix" : "" }, { "dropping-particle" : "", "family" : "Newman", "given" : "William", "non-dropping-particle" : "", "parse-names" : false, "suffix" : "" }, { "dropping-particle" : "", "family" : "Pan\u00e9s", "given" : "Juli\u00e1n", "non-dropping-particle" : "", "parse-names" : false, "suffix" : "" }, { "dropping-particle" : "", "family" : "Phillips", "given" : "Anne", "non-dropping-particle" : "", "parse-names" : false, "suffix" : "" }, { "dropping-particle" : "", "family" : "Proctor", "given" : "Deborah D", "non-dropping-particle" : "", "parse-names" : false, "suffix" : "" }, { "dropping-particle" : "", "family" : "Regueiro", "given" : "Miguel", "non-dropping-particle" : "", "parse-names" : false, "suffix" : "" }, { "dropping-particle" : "", "family" : "Russell", "given" : "Richard", "non-dropping-particle" : "", "parse-names" : false, "suffix" : "" }, { "dropping-particle" : "", "family" : "Rutgeerts", "given" : "Paul", "non-dropping-particle" : "", "parse-names" : false, "suffix" : "" }, { "dropping-particle" : "", "family" : "Sanderson", "given" : "Jeremy", "non-dropping-particle" : "", "parse-names" : false, "suffix" : "" }, { "dropping-particle" : "", "family" : "Sans", "given" : "Miquel", "non-dropping-particle" : "", "parse-names" : false, "suffix" : "" }, { "dropping-particle" : "", "family" : "Seibold", "given" : "Frank", "non-dropping-particle" : "", "parse-names" : false, "suffix" : "" }, { "dropping-particle" : "", "family" : "Steinhart", "given" : "a Hillary", "non-dropping-particle" : "", "parse-names" : false, "suffix" : "" }, { "dropping-particle" : "", "family" : "Stokkers", "given" : "Pieter C F", "non-dropping-particle" : "", "parse-names" : false, "suffix" : "" }, { "dropping-particle" : "", "family" : "Torkvist", "given" : "Leif", "non-dropping-particle" : "", "parse-names" : false, "suffix" : "" }, { "dropping-particle" : "", "family" : "Kullak-Ublick", "given" : "Gerd", "non-dropping-particle" : "", "parse-names" : false, "suffix" : "" }, { "dropping-particle" : "", "family" : "Wilson", "given" : "David", "non-dropping-particle" : "", "parse-names" : false, "suffix" : "" }, { "dropping-particle" : "", "family" : "Walters", "given" : "Thomas", "non-dropping-particle" : "", "parse-names" : false, "suffix" : "" }, { "dropping-particle" : "", "family" : "Targan", "given" : "Stephan R", "non-dropping-particle" : "", "parse-names" : false, "suffix" : "" }, { "dropping-particle" : "", "family" : "Brant", "given" : "Steven R", "non-dropping-particle" : "", "parse-names" : false, "suffix" : "" }, { "dropping-particle" : "", "family" : "Rioux", "given" : "John D", "non-dropping-particle" : "", "parse-names" : false, "suffix" : "" }, { "dropping-particle" : "", "family" : "D'Amato", "given" : "Mauro", "non-dropping-particle" : "", "parse-names" : false, "suffix" : "" }, { "dropping-particle" : "", "family" : "Weersma", "given" : "Rinse K", "non-dropping-particle" : "", "parse-names" : false, "suffix" : "" }, { "dropping-particle" : "", "family" : "Kugathasan", "given" : "Subra", "non-dropping-particle" : "", "parse-names" : false, "suffix" : "" }, { "dropping-particle" : "", "family" : "Griffiths", "given" : "Anne M", "non-dropping-particle" : "", "parse-names" : false, "suffix" : "" }, { "dropping-particle" : "", "family" : "Mansfield", "given" : "John C", "non-dropping-particle" : "", "parse-names" : false, "suffix" : "" }, { "dropping-particle" : "", "family" : "Vermeire", "given" : "Severine", "non-dropping-particle" : "", "parse-names" : false, "suffix" : "" }, { "dropping-particle" : "", "family" : "Duerr", "given" : "Richard H", "non-dropping-particle" : "", "parse-names" : false, "suffix" : "" }, { "dropping-particle" : "", "family" : "Silverberg", "given" : "Mark S", "non-dropping-particle" : "", "parse-names" : false, "suffix" : "" }, { "dropping-particle" : "", "family" : "Satsangi", "given" : "Jack", "non-dropping-particle" : "", "parse-names" : false, "suffix" : "" }, { "dropping-particle" : "", "family" : "Schreiber", "given" : "Stefan", "non-dropping-particle" : "", "parse-names" : false, "suffix" : "" }, { "dropping-particle" : "", "family" : "Cho", "given" : "Judy H", "non-dropping-particle" : "", "parse-names" : false, "suffix" : "" }, { "dropping-particle" : "", "family" : "Annese", "given" : "Vito", "non-dropping-particle" : "", "parse-names" : false, "suffix" : "" }, { "dropping-particle" : "", "family" : "Hakonarson", "given" : "Hakon", "non-dropping-particle" : "", "parse-names" : false, "suffix" : "" }, { "dropping-particle" : "", "family" : "Daly", "given" : "Mark J", "non-dropping-particle" : "", "parse-names" : false, "suffix" : "" }, { "dropping-particle" : "", "family" : "Parkes", "given" : "Miles", "non-dropping-particle" : "", "parse-names" : false, "suffix" : "" } ], "container-title" : "Nature Genetics", "id" : "ITEM-1", "issue" : "12", "issued" : { "date-parts" : [ [ "2010" ] ] }, "page" : "1118-1125", "publisher" : "Nature Publishing Group", "title" : "Genome-wide meta-analysis increases to 71 the number of confirmed Crohn's disease susceptibility loci.", "type" : "article-journal", "volume" : "42" }, "uris" : [ "http://www.mendeley.com/documents/?uuid=5f36bb1f-058b-49dd-a9f6-4b8bf1c5096d" ] } ], "mendeley" : { "formattedCitation" : "[30]", "plainTextFormattedCitation" : "[30]", "previouslyFormattedCitation" : "[30]"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[30]</w:t>
            </w:r>
            <w:r>
              <w:rPr>
                <w:rFonts w:ascii="Arial" w:hAnsi="Arial" w:cs="Arial"/>
                <w:sz w:val="18"/>
                <w:szCs w:val="18"/>
              </w:rPr>
              <w:fldChar w:fldCharType="end"/>
            </w:r>
          </w:p>
        </w:tc>
      </w:tr>
      <w:tr w:rsidR="000F7048" w:rsidRPr="00F50D94" w14:paraId="5B77B905" w14:textId="77777777" w:rsidTr="00F43643">
        <w:trPr>
          <w:trHeight w:val="597"/>
        </w:trPr>
        <w:tc>
          <w:tcPr>
            <w:tcW w:w="2178" w:type="dxa"/>
            <w:vAlign w:val="center"/>
          </w:tcPr>
          <w:p w14:paraId="0DDA6466"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Chr11:</w:t>
            </w:r>
          </w:p>
          <w:p w14:paraId="0E4A46A5"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131300175 - 131302175</w:t>
            </w:r>
          </w:p>
        </w:tc>
        <w:tc>
          <w:tcPr>
            <w:tcW w:w="1659" w:type="dxa"/>
            <w:vAlign w:val="center"/>
          </w:tcPr>
          <w:p w14:paraId="5284D426"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4CCB9616"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GALNT9</w:t>
            </w:r>
          </w:p>
        </w:tc>
        <w:tc>
          <w:tcPr>
            <w:tcW w:w="3240" w:type="dxa"/>
            <w:vAlign w:val="center"/>
          </w:tcPr>
          <w:p w14:paraId="3949B37E"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15D585CF" w14:textId="77777777" w:rsidTr="00F43643">
        <w:trPr>
          <w:trHeight w:val="613"/>
        </w:trPr>
        <w:tc>
          <w:tcPr>
            <w:tcW w:w="2178" w:type="dxa"/>
            <w:vAlign w:val="center"/>
          </w:tcPr>
          <w:p w14:paraId="1B01E343"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Chr11:</w:t>
            </w:r>
          </w:p>
          <w:p w14:paraId="32785124" w14:textId="77777777" w:rsidR="000F7048" w:rsidRPr="00100B6C" w:rsidRDefault="000F7048" w:rsidP="00F43643">
            <w:pPr>
              <w:jc w:val="center"/>
              <w:rPr>
                <w:rFonts w:ascii="Arial" w:hAnsi="Arial" w:cs="Arial"/>
                <w:sz w:val="18"/>
                <w:szCs w:val="18"/>
              </w:rPr>
            </w:pPr>
            <w:r w:rsidRPr="00100B6C">
              <w:rPr>
                <w:rFonts w:ascii="Arial" w:eastAsia="Times New Roman" w:hAnsi="Arial" w:cs="Arial"/>
                <w:sz w:val="18"/>
                <w:szCs w:val="18"/>
              </w:rPr>
              <w:t>131420650 - 131422650</w:t>
            </w:r>
          </w:p>
        </w:tc>
        <w:tc>
          <w:tcPr>
            <w:tcW w:w="1659" w:type="dxa"/>
            <w:vAlign w:val="center"/>
          </w:tcPr>
          <w:p w14:paraId="4CCD96B6"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061BACA5"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GALNT9</w:t>
            </w:r>
          </w:p>
        </w:tc>
        <w:tc>
          <w:tcPr>
            <w:tcW w:w="3240" w:type="dxa"/>
            <w:vAlign w:val="center"/>
          </w:tcPr>
          <w:p w14:paraId="6EBAF853"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05A970AF" w14:textId="77777777" w:rsidTr="00F43643">
        <w:trPr>
          <w:trHeight w:val="613"/>
        </w:trPr>
        <w:tc>
          <w:tcPr>
            <w:tcW w:w="2178" w:type="dxa"/>
            <w:vAlign w:val="center"/>
          </w:tcPr>
          <w:p w14:paraId="3B7B2134"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Chr11:</w:t>
            </w:r>
          </w:p>
          <w:p w14:paraId="7DB59AE8" w14:textId="77777777" w:rsidR="000F7048" w:rsidRPr="00100B6C" w:rsidRDefault="000F7048" w:rsidP="00F43643">
            <w:pPr>
              <w:jc w:val="center"/>
              <w:rPr>
                <w:rFonts w:ascii="Arial" w:hAnsi="Arial" w:cs="Arial"/>
                <w:sz w:val="18"/>
                <w:szCs w:val="18"/>
              </w:rPr>
            </w:pPr>
            <w:r w:rsidRPr="00100B6C">
              <w:rPr>
                <w:rFonts w:ascii="Arial" w:eastAsia="Times New Roman" w:hAnsi="Arial" w:cs="Arial"/>
                <w:sz w:val="18"/>
                <w:szCs w:val="18"/>
              </w:rPr>
              <w:t>131484840 - 131486840</w:t>
            </w:r>
          </w:p>
        </w:tc>
        <w:tc>
          <w:tcPr>
            <w:tcW w:w="1659" w:type="dxa"/>
            <w:vAlign w:val="center"/>
          </w:tcPr>
          <w:p w14:paraId="3B04C060"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4054F3B9"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GALNT9</w:t>
            </w:r>
          </w:p>
        </w:tc>
        <w:tc>
          <w:tcPr>
            <w:tcW w:w="3240" w:type="dxa"/>
            <w:vAlign w:val="center"/>
          </w:tcPr>
          <w:p w14:paraId="1616D9AD"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31CB63C7" w14:textId="77777777" w:rsidTr="00F43643">
        <w:trPr>
          <w:trHeight w:val="404"/>
        </w:trPr>
        <w:tc>
          <w:tcPr>
            <w:tcW w:w="2178" w:type="dxa"/>
            <w:vAlign w:val="center"/>
          </w:tcPr>
          <w:p w14:paraId="50548AD7"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Chr12:</w:t>
            </w:r>
          </w:p>
          <w:p w14:paraId="565F4CD2"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94220922 - 94876852</w:t>
            </w:r>
          </w:p>
        </w:tc>
        <w:tc>
          <w:tcPr>
            <w:tcW w:w="1659" w:type="dxa"/>
            <w:vAlign w:val="center"/>
          </w:tcPr>
          <w:p w14:paraId="2112F1A7"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3</w:t>
            </w:r>
          </w:p>
        </w:tc>
        <w:tc>
          <w:tcPr>
            <w:tcW w:w="1851" w:type="dxa"/>
            <w:vAlign w:val="center"/>
          </w:tcPr>
          <w:p w14:paraId="6ECD5394" w14:textId="77777777" w:rsidR="000F7048" w:rsidRPr="00A50C1F" w:rsidRDefault="000F7048" w:rsidP="00F43643">
            <w:pPr>
              <w:jc w:val="center"/>
              <w:rPr>
                <w:rFonts w:ascii="Arial" w:eastAsia="Times New Roman" w:hAnsi="Arial" w:cs="Arial"/>
                <w:sz w:val="18"/>
                <w:szCs w:val="18"/>
              </w:rPr>
            </w:pPr>
            <w:r w:rsidRPr="00A50C1F">
              <w:rPr>
                <w:rFonts w:ascii="Arial" w:eastAsia="Times New Roman" w:hAnsi="Arial" w:cs="Arial"/>
                <w:sz w:val="18"/>
                <w:szCs w:val="18"/>
              </w:rPr>
              <w:t>ALPP/DIS3L2</w:t>
            </w:r>
          </w:p>
        </w:tc>
        <w:tc>
          <w:tcPr>
            <w:tcW w:w="3240" w:type="dxa"/>
            <w:vAlign w:val="center"/>
          </w:tcPr>
          <w:p w14:paraId="560C52A5"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Height</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"10.1093/hmg/ddp296", "ISBN" : "1460-2083 (Electronic)\\r0964-6906 (Linking)", "ISSN" : "09646906", "PMID" : "19570815", "abstract" : "Northwestern Europeans are among the tallest of human populations. The increase in body height in these people appears to have reached a plateau, suggesting the ubiquitous presence of an optimal environment in which genetic factors may have exerted a particularly strong influence on human growth. Therefore, we performed a genome-wide association study (GWAS) of body height using 2.2 million markers in 10 074 individuals from three Dutch and one German population-based cohorts. Upon genotyping, the 12 most significantly height-associated single nucleotide polymorphisms (SNPs) from this GWAS in 6912 additional individuals of Dutch and Swedish origin, a genetic variant (rs6717918) on chromosome 2q37.1 was found to be associated with height at a genome-wide significance level (P(combined) = 3.4 x 10(-9)). Notably, a second SNP (rs6718438) located approximately 450 bp away and in strong LD (r(2) = 0.77) with rs6717918 was previously found to be suggestive of a height association in 29 820 individuals of mainly northwestern European ancestry, and the over-expression of a nearby natriuretic peptide precursor type C (NPPC) gene, has been associated with overgrowth and skeletal anomalies. We also found a SNP (rs10472828) located on 5p14 near the natriuretic peptide receptor 3 (NPR3) gene, encoding a receptor of the NPPC ligand, to be associated with body height (P(combined) = 2.1 x 10(-7)). Taken together, these results suggest that variation in the C-type natriuretic peptide signaling pathway, involving the NPPC and NPR3 genes, plays an important role in determining human body height.", "author" : [ { "dropping-particle" : "", "family" : "Estrada", "given" : "Karol", "non-dropping-particle" : "", "parse-names" : false, "suffix" : "" }, { "dropping-particle" : "", "family" : "Krawczak", "given" : "Michael", "non-dropping-particle" : "", "parse-names" : false, "suffix" : "" }, { "dropping-particle" : "", "family" : "Schreiber", "given" : "Stefan", "non-dropping-particle" : "", "parse-names" : false, "suffix" : "" }, { "dropping-particle" : "", "family" : "Duijn", "given" : "Kate", "non-dropping-particle" : "van", "parse-names" : false, "suffix" : "" }, { "dropping-particle" : "", "family" : "Stolk", "given" : "Lisette", "non-dropping-particle" : "", "parse-names" : false, "suffix" : "" }, { "dropping-particle" : "", "family" : "Meurs", "given" : "Joyce B J", "non-dropping-particle" : "van", "parse-names" : false, "suffix" : "" }, { "dropping-particle" : "", "family" : "Liu", "given" : "Fan", "non-dropping-particle" : "", "parse-names" : false, "suffix" : "" }, { "dropping-particle" : "", "family" : "Penninx", "given" : "Brenda W J H", "non-dropping-particle" : "", "parse-names" : false, "suffix" : "" }, { "dropping-particle" : "", "family" : "Smit", "given" : "Jan H.", "non-dropping-particle" : "", "parse-names" : false, "suffix" : "" }, { "dropping-particle" : "", "family" : "Vogelzangs", "given" : "Nicole", "non-dropping-particle" : "", "parse-names" : false, "suffix" : "" }, { "dropping-particle" : "", "family" : "Hottenga", "given" : "Jouke Jan", "non-dropping-particle" : "", "parse-names" : false, "suffix" : "" }, { "dropping-particle" : "", "family" : "Willemsen", "given" : "Gonneke", "non-dropping-particle" : "", "parse-names" : false, "suffix" : "" }, { "dropping-particle" : "", "family" : "Geus", "given" : "Eco J C", "non-dropping-particle" : "de", "parse-names" : false, "suffix" : "" }, { "dropping-particle" : "", "family" : "Lorentzon", "given" : "Mattias", "non-dropping-particle" : "", "parse-names" : false, "suffix" : "" }, { "dropping-particle" : "", "family" : "Eller-Eberstein", "given" : "Huberta", "non-dropping-particle" : "von", "parse-names" : false, "suffix" : "" }, { "dropping-particle" : "", "family" : "Lips", "given" : "Paul", "non-dropping-particle" : "", "parse-names" : false, "suffix" : "" }, { "dropping-particle" : "", "family" : "Schoor", "given" : "Natascha", "non-dropping-particle" : "", "parse-names" : false, "suffix" : "" }, { "dropping-particle" : "", "family" : "Pop", "given" : "Victor", "non-dropping-particle" : "", "parse-names" : false, "suffix" : "" }, { "dropping-particle" : "", "family" : "Keijzer", "given" : "Jules", "non-dropping-particle" : "de", "parse-names" : false, "suffix" : "" }, { "dropping-particle" : "", "family" : "Hofman", "given" : "Albert", "non-dropping-particle" : "", "parse-names" : false, "suffix" : "" }, { "dropping-particle" : "", "family" : "Aulchenko", "given" : "Yurii S.", "non-dropping-particle" : "", "parse-names" : false, "suffix" : "" }, { "dropping-particle" : "", "family" : "Oostra", "given" : "Ben a.", "non-dropping-particle" : "", "parse-names" : false, "suffix" : "" }, { "dropping-particle" : "", "family" : "Ohlsson", "given" : "Claes", "non-dropping-particle" : "", "parse-names" : false, "suffix" : "" }, { "dropping-particle" : "", "family" : "Boomsma", "given" : "Dorret I.", "non-dropping-particle" : "", "parse-names" : false, "suffix" : "" }, { "dropping-particle" : "", "family" : "Uitterlinden", "given" : "Andre G.", "non-dropping-particle" : "", "parse-names" : false, "suffix" : "" }, { "dropping-particle" : "", "family" : "Duijn", "given" : "Cornelia M.", "non-dropping-particle" : "van", "parse-names" : false, "suffix" : "" }, { "dropping-particle" : "", "family" : "Rivadeneira", "given" : "Fernando", "non-dropping-particle" : "", "parse-names" : false, "suffix" : "" }, { "dropping-particle" : "", "family" : "Kayser", "given" : "Manfred", "non-dropping-particle" : "", "parse-names" : false, "suffix" : "" } ], "container-title" : "Human Molecular Genetics", "id" : "ITEM-1", "issue" : "18", "issued" : { "date-parts" : [ [ "2009" ] ] }, "page" : "3516-3524", "title" : "A genome-wide association study of northwestern Europeans involves the C-type natriuretic peptide signaling pathway in the etiology of human height variation", "type" : "article-journal", "volume" : "18" }, "uris" : [ "http://www.mendeley.com/documents/?uuid=42d83602-198e-43c3-bd4a-5c93312d17fa" ] } ], "mendeley" : { "formattedCitation" : "[31]", "plainTextFormattedCitation" : "[31]", "previouslyFormattedCitation" : "[31]"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[31]</w:t>
            </w:r>
            <w:r>
              <w:rPr>
                <w:rFonts w:ascii="Arial" w:hAnsi="Arial" w:cs="Arial"/>
                <w:sz w:val="18"/>
                <w:szCs w:val="18"/>
              </w:rPr>
              <w:fldChar w:fldCharType="end"/>
            </w:r>
          </w:p>
        </w:tc>
      </w:tr>
      <w:tr w:rsidR="000F7048" w:rsidRPr="00F50D94" w14:paraId="5445BD22" w14:textId="77777777" w:rsidTr="00F43643">
        <w:trPr>
          <w:trHeight w:val="404"/>
        </w:trPr>
        <w:tc>
          <w:tcPr>
            <w:tcW w:w="2178" w:type="dxa"/>
            <w:vAlign w:val="center"/>
          </w:tcPr>
          <w:p w14:paraId="62BF88FB"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Chr13:</w:t>
            </w:r>
          </w:p>
          <w:p w14:paraId="68F6EE28"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40548003 - 40550240</w:t>
            </w:r>
          </w:p>
        </w:tc>
        <w:tc>
          <w:tcPr>
            <w:tcW w:w="1659" w:type="dxa"/>
            <w:vAlign w:val="center"/>
          </w:tcPr>
          <w:p w14:paraId="641B60BA"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3</w:t>
            </w:r>
          </w:p>
        </w:tc>
        <w:tc>
          <w:tcPr>
            <w:tcW w:w="1851" w:type="dxa"/>
            <w:vAlign w:val="center"/>
          </w:tcPr>
          <w:p w14:paraId="095AA481"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GAPDH</w:t>
            </w:r>
          </w:p>
        </w:tc>
        <w:tc>
          <w:tcPr>
            <w:tcW w:w="3240" w:type="dxa"/>
            <w:vAlign w:val="center"/>
          </w:tcPr>
          <w:p w14:paraId="75658FAC"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2C11F472" w14:textId="77777777" w:rsidTr="00F43643">
        <w:trPr>
          <w:trHeight w:val="404"/>
        </w:trPr>
        <w:tc>
          <w:tcPr>
            <w:tcW w:w="2178" w:type="dxa"/>
            <w:vAlign w:val="center"/>
          </w:tcPr>
          <w:p w14:paraId="1275A0BD"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Chr13:</w:t>
            </w:r>
          </w:p>
          <w:p w14:paraId="45A42EE7"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54397960 - 54399960</w:t>
            </w:r>
          </w:p>
        </w:tc>
        <w:tc>
          <w:tcPr>
            <w:tcW w:w="1659" w:type="dxa"/>
            <w:vAlign w:val="center"/>
          </w:tcPr>
          <w:p w14:paraId="46A82F41"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3D29BA90"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CLHC1</w:t>
            </w:r>
          </w:p>
        </w:tc>
        <w:tc>
          <w:tcPr>
            <w:tcW w:w="3240" w:type="dxa"/>
            <w:vAlign w:val="center"/>
          </w:tcPr>
          <w:p w14:paraId="04E6FA03"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5169D5E9" w14:textId="77777777" w:rsidTr="00F43643">
        <w:trPr>
          <w:trHeight w:val="386"/>
        </w:trPr>
        <w:tc>
          <w:tcPr>
            <w:tcW w:w="2178" w:type="dxa"/>
            <w:vAlign w:val="center"/>
          </w:tcPr>
          <w:p w14:paraId="47DB8B76"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Chr13:</w:t>
            </w:r>
          </w:p>
          <w:p w14:paraId="4C8203BC"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79975255 - 79977255</w:t>
            </w:r>
          </w:p>
        </w:tc>
        <w:tc>
          <w:tcPr>
            <w:tcW w:w="1659" w:type="dxa"/>
            <w:vAlign w:val="center"/>
          </w:tcPr>
          <w:p w14:paraId="32D62348"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5C144EC8"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ANKRD11</w:t>
            </w:r>
          </w:p>
        </w:tc>
        <w:tc>
          <w:tcPr>
            <w:tcW w:w="3240" w:type="dxa"/>
            <w:vAlign w:val="center"/>
          </w:tcPr>
          <w:p w14:paraId="121F2F64"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041FD5C1" w14:textId="77777777" w:rsidTr="00F43643">
        <w:trPr>
          <w:trHeight w:val="404"/>
        </w:trPr>
        <w:tc>
          <w:tcPr>
            <w:tcW w:w="2178" w:type="dxa"/>
            <w:vAlign w:val="center"/>
          </w:tcPr>
          <w:p w14:paraId="64402987"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Chr15:</w:t>
            </w:r>
          </w:p>
          <w:p w14:paraId="0C8610BD"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3447168 - 4033270</w:t>
            </w:r>
          </w:p>
        </w:tc>
        <w:tc>
          <w:tcPr>
            <w:tcW w:w="1659" w:type="dxa"/>
            <w:vAlign w:val="center"/>
          </w:tcPr>
          <w:p w14:paraId="0E3CDD55"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3</w:t>
            </w:r>
          </w:p>
        </w:tc>
        <w:tc>
          <w:tcPr>
            <w:tcW w:w="1851" w:type="dxa"/>
            <w:vAlign w:val="center"/>
          </w:tcPr>
          <w:p w14:paraId="5003C1F9"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RXRB/COL11A1/COL5A1</w:t>
            </w:r>
          </w:p>
        </w:tc>
        <w:tc>
          <w:tcPr>
            <w:tcW w:w="3240" w:type="dxa"/>
            <w:vAlign w:val="center"/>
          </w:tcPr>
          <w:p w14:paraId="3B353ADC" w14:textId="77777777" w:rsidR="000F7048" w:rsidRPr="00F50D94" w:rsidRDefault="000F7048" w:rsidP="00F43643">
            <w:pPr>
              <w:jc w:val="center"/>
              <w:rPr>
                <w:rFonts w:ascii="Arial" w:hAnsi="Arial" w:cs="Arial"/>
                <w:sz w:val="18"/>
                <w:szCs w:val="18"/>
              </w:rPr>
            </w:pPr>
            <w:r>
              <w:rPr>
                <w:rFonts w:ascii="Arial" w:hAnsi="Arial" w:cs="Arial"/>
                <w:sz w:val="18"/>
                <w:szCs w:val="18"/>
              </w:rPr>
              <w:t xml:space="preserve">Glaucoma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"10.1038/ng.2390", "ISBN" : "1546-1718 (Electronic)\r1061-4036 (Linking)", "ISSN" : "1061-4036", "PMID" : "22922875", "abstract" : "Primary angle closure glaucoma (PACG) is a major cause of blindness worldwide. We conducted a genome-wide association study including 1,854 PACG cases and 9,608 controls across 5 sample collections in Asia. Replication experiments were conducted in 1,917 PACG cases and 8,943 controls collected from a further 6 sample collections. We report significant associations at three new loci: rs11024102 in PLEKHA7 (per-allele odds ratio (OR)=1.22; P=5.33\u00d710(-12)), rs3753841 in COL11A1 (per-allele OR=1.20; P=9.22\u00d710(-10)) and rs1015213 located between PCMTD1 and ST18 on chromosome 8q (per-allele OR=1.50; P=3.29\u00d710(-9)). Our findings, accumulated across these independent worldwide collections, suggest possible mechanisms explaining the pathogenesis of PACG.", "author" : [ { "dropping-particle" : "", "family" : "Vithana", "given" : "Eranga N", "non-dropping-particle" : "", "parse-names" : false, "suffix" : "" }, { "dropping-particle" : "", "family" : "Khor", "given" : "Chiea-Chuen", "non-dropping-particle" : "", "parse-names" : false, "suffix" : "" }, { "dropping-particle" : "", "family" : "Qiao", "given" : "Chunyan", "non-dropping-particle" : "", "parse-names" : false, "suffix" : "" }, { "dropping-particle" : "", "family" : "Nongpiur", "given" : "Monisha E", "non-dropping-particle" : "", "parse-names" : false, "suffix" : "" }, { "dropping-particle" : "", "family" : "George", "given" : "Ronnie", "non-dropping-particle" : "", "parse-names" : false, "suffix" : "" }, { "dropping-particle" : "", "family" : "Chen", "given" : "Li-Jia", "non-dropping-particle" : "", "parse-names" : false, "suffix" : "" }, { "dropping-particle" : "", "family" : "Do", "given" : "Tan", "non-dropping-particle" : "", "parse-names" : false, "suffix" : "" }, { "dropping-particle" : "", "family" : "Abu-Amero", "given" : "Khaled", "non-dropping-particle" : "", "parse-names" : false, "suffix" : "" }, { "dropping-particle" : "", "family" : "Huang", "given" : "Chor Kai", "non-dropping-particle" : "", "parse-names" : false, "suffix" : "" }, { "dropping-particle" : "", "family" : "Low", "given" : "Sancy", "non-dropping-particle" : "", "parse-names" : false, "suffix" : "" }, { "dropping-particle" : "", "family" : "Tajudin", "given" : "Liza-Sharmini a", "non-dropping-particle" : "", "parse-names" : false, "suffix" : "" }, { "dropping-particle" : "", "family" : "Perera", "given" : "Shamira a", "non-dropping-particle" : "", "parse-names" : false, "suffix" : "" }, { "dropping-particle" : "", "family" : "Cheng", "given" : "Ching-Yu", "non-dropping-particle" : "", "parse-names" : false, "suffix" : "" }, { "dropping-particle" : "", "family" : "Xu", "given" : "Liang", "non-dropping-particle" : "", "parse-names" : false, "suffix" : "" }, { "dropping-particle" : "", "family" : "Jia", "given" : "Hongyan", "non-dropping-particle" : "", "parse-names" : false, "suffix" : "" }, { "dropping-particle" : "", "family" : "Ho", "given" : "Ching-Lin", "non-dropping-particle" : "", "parse-names" : false, "suffix" : "" }, { "dropping-particle" : "", "family" : "Sim", "given" : "Kar Seng", "non-dropping-particle" : "", "parse-names" : false, "suffix" : "" }, { "dropping-particle" : "", "family" : "Wu", "given" : "Ren-Yi", "non-dropping-particle" : "", "parse-names" : false, "suffix" : "" }, { "dropping-particle" : "", "family" : "Tham", "given" : "Clement C Y", "non-dropping-particle" : "", "parse-names" : false, "suffix" : "" }, { "dropping-particle" : "", "family" : "Chew", "given" : "Paul T K", "non-dropping-particle" : "", "parse-names" : false, "suffix" : "" }, { "dropping-particle" : "", "family" : "Su", "given" : "Daniel H", "non-dropping-particle" : "", "parse-names" : false, "suffix" : "" }, { "dropping-particle" : "", "family" : "Oen", "given" : "Francis T", "non-dropping-particle" : "", "parse-names" : false, "suffix" : "" }, { "dropping-particle" : "", "family" : "Sarangapani", "given" : "Sripriya", "non-dropping-particle" : "", "parse-names" : false, "suffix" : "" }, { "dropping-particle" : "", "family" : "Soumittra", "given" : "Nagaswamy", "non-dropping-particle" : "", "parse-names" : false, "suffix" : "" }, { "dropping-particle" : "", "family" : "Osman", "given" : "Essam a", "non-dropping-particle" : "", "parse-names" : false, "suffix" : "" }, { "dropping-particle" : "", "family" : "Wong", "given" : "Hon-Tym", "non-dropping-particle" : "", "parse-names" : false, "suffix" : "" }, { "dropping-particle" : "", "family" : "Tang", "given" : "Guangxian", "non-dropping-particle" : "", "parse-names" : false, "suffix" : "" }, { "dropping-particle" : "", "family" : "Fan", "given" : "Sujie", "non-dropping-particle" : "", "parse-names" : false, "suffix" : "" }, { "dropping-particle" : "", "family" : "Meng", "given" : "Hailin", "non-dropping-particle" : "", "parse-names" : false, "suffix" : "" }, { "dropping-particle" : "", "family" : "Huong", "given" : "Dao T L", "non-dropping-particle" : "", "parse-names" : false, "suffix" : "" }, { "dropping-particle" : "", "family" : "Wang", "given" : "Hua", "non-dropping-particle" : "", "parse-names" : false, "suffix" : "" }, { "dropping-particle" : "", "family" : "Feng", "given" : "Bo", "non-dropping-particle" : "", "parse-names" : false, "suffix" : "" }, { "dropping-particle" : "", "family" : "Baskaran", "given" : "Mani", "non-dropping-particle" : "", "parse-names" : false, "suffix" : "" }, { "dropping-particle" : "", "family" : "Shantha", "given" : "Balekudaru", "non-dropping-particle" : "", "parse-names" : false, "suffix" : "" }, { "dropping-particle" : "", "family" : "Ramprasad", "given" : "Vedam L", "non-dropping-particle" : "", "parse-names" : false, "suffix" : "" }, { "dropping-particle" : "", "family" : "Kumaramanickavel", "given" : "Govindasamy", "non-dropping-particle" : "", "parse-names" : false, "suffix" : "" }, { "dropping-particle" : "", "family" : "Iyengar", "given" : "Sudha K", "non-dropping-particle" : "", "parse-names" : false, "suffix" : "" }, { "dropping-particle" : "", "family" : "How", "given" : "Alicia C", "non-dropping-particle" : "", "parse-names" : false, "suffix" : "" }, { "dropping-particle" : "", "family" : "Lee", "given" : "Kelvin Y", "non-dropping-particle" : "", "parse-names" : false, "suffix" : "" }, { "dropping-particle" : "", "family" : "Sivakumaran", "given" : "Theru a", "non-dropping-particle" : "", "parse-names" : false, "suffix" : "" }, { "dropping-particle" : "", "family" : "Yong", "given" : "Victor H K", "non-dropping-particle" : "", "parse-names" : false, "suffix" : "" }, { "dropping-particle" : "", "family" : "Ting", "given" : "Serena M L", "non-dropping-particle" : "", "parse-names" : false, "suffix" : "" }, { "dropping-particle" : "", "family" : "Li", "given" : "Yang", "non-dropping-particle" : "", "parse-names" : false, "suffix" : "" }, { "dropping-particle" : "", "family" : "Wang", "given" : "Ya-Xing", "non-dropping-particle" : "", "parse-names" : false, "suffix" : "" }, { "dropping-particle" : "", "family" : "Tay", "given" : "Wan-Ting", "non-dropping-particle" : "", "parse-names" : false, "suffix" : "" }, { "dropping-particle" : "", "family" : "Sim", "given" : "Xueling", "non-dropping-particle" : "", "parse-names" : false, "suffix" : "" }, { "dropping-particle" : "", "family" : "Lavanya", "given" : "Raghavan", "non-dropping-particle" : "", "parse-names" : false, "suffix" : "" }, { "dropping-particle" : "", "family" : "Cornes", "given" : "Belinda K", "non-dropping-particle" : "", "parse-names" : false, "suffix" : "" }, { "dropping-particle" : "", "family" : "Zheng", "given" : "Ying-Feng", "non-dropping-particle" : "", "parse-names" : false, "suffix" : "" }, { "dropping-particle" : "", "family" : "Wong", "given" : "Tina T", "non-dropping-particle" : "", "parse-names" : false, "suffix" : "" }, { "dropping-particle" : "", "family" : "Loon", "given" : "Seng-Chee", "non-dropping-particle" : "", "parse-names" : false, "suffix" : "" }, { "dropping-particle" : "", "family" : "Yong", "given" : "Vernon K Y", "non-dropping-particle" : "", "parse-names" : false, "suffix" : "" }, { "dropping-particle" : "", "family" : "Waseem", "given" : "Naushin", "non-dropping-particle" : "", "parse-names" : false, "suffix" : "" }, { "dropping-particle" : "", "family" : "Yaakub", "given" : "Azhany", "non-dropping-particle" : "", "parse-names" : false, "suffix" : "" }, { "dropping-particle" : "", "family" : "Chia", "given" : "Kee-Seng", "non-dropping-particle" : "", "parse-names" : false, "suffix" : "" }, { "dropping-particle" : "", "family" : "Allingham", "given" : "R Rand", "non-dropping-particle" : "", "parse-names" : false, "suffix" : "" }, { "dropping-particle" : "", "family" : "Hauser", "given" : "Michael a", "non-dropping-particle" : "", "parse-names" : false, "suffix" : "" }, { "dropping-particle" : "", "family" : "Lam", "given" : "Dennis S C", "non-dropping-particle" : "", "parse-names" : false, "suffix" : "" }, { "dropping-particle" : "", "family" : "Hibberd", "given" : "Martin L", "non-dropping-particle" : "", "parse-names" : false, "suffix" : "" }, { "dropping-particle" : "", "family" : "Bhattacharya", "given" : "Shomi S", "non-dropping-particle" : "", "parse-names" : false, "suffix" : "" }, { "dropping-particle" : "", "family" : "Zhang", "given" : "Mingzhi", "non-dropping-particle" : "", "parse-names" : false, "suffix" : "" }, { "dropping-particle" : "", "family" : "Teo", "given" : "Yik Ying", "non-dropping-particle" : "", "parse-names" : false, "suffix" : "" }, { "dropping-particle" : "", "family" : "Tan", "given" : "Donald T", "non-dropping-particle" : "", "parse-names" : false, "suffix" : "" }, { "dropping-particle" : "", "family" : "Jonas", "given" : "Jost B", "non-dropping-particle" : "", "parse-names" : false, "suffix" : "" }, { "dropping-particle" : "", "family" : "Tai", "given" : "E-Shyong", "non-dropping-particle" : "", "parse-names" : false, "suffix" : "" }, { "dropping-particle" : "", "family" : "Saw", "given" : "Seang-Mei", "non-dropping-particle" : "", "parse-names" : false, "suffix" : "" }, { "dropping-particle" : "", "family" : "Hon", "given" : "Do Nhu", "non-dropping-particle" : "", "parse-names" : false, "suffix" : "" }, { "dropping-particle" : "", "family" : "Al-Obeidan", "given" : "Saleh a", "non-dropping-particle" : "", "parse-names" : false, "suffix" : "" }, { "dropping-particle" : "", "family" : "Liu", "given" : "Jianjun", "non-dropping-particle" : "", "parse-names" : false, "suffix" : "" }, { "dropping-particle" : "", "family" : "Chau", "given" : "Tran Nguyen Bich", "non-dropping-particle" : "", "parse-names" : false, "suffix" : "" }, { "dropping-particle" : "", "family" : "Simmons", "given" : "Cameron P", "non-dropping-particle" : "", "parse-names" : false, "suffix" : "" }, { "dropping-particle" : "", "family" : "Bei", "given" : "Jin-Xin", "non-dropping-particle" : "", "parse-names" : false, "suffix" : "" }, { "dropping-particle" : "", "family" : "Zeng", "given" : "Yi-Xin", "non-dropping-particle" : "", "parse-names" : false, "suffix" : "" }, { "dropping-particle" : "", "family" : "Foster", "given" : "Paul J", "non-dropping-particle" : "", "parse-names" : false, "suffix" : "" }, { "dropping-particle" : "", "family" : "Vijaya", "given" : "Lingam", "non-dropping-particle" : "", "parse-names" : false, "suffix" : "" }, { "dropping-particle" : "", "family" : "Wong", "given" : "Tien-Yin", "non-dropping-particle" : "", "parse-names" : false, "suffix" : "" }, { "dropping-particle" : "", "family" : "Pang", "given" : "Chi-Pui", "non-dropping-particle" : "", "parse-names" : false, "suffix" : "" }, { "dropping-particle" : "", "family" : "Wang", "given" : "Ningli", "non-dropping-particle" : "", "parse-names" : false, "suffix" : "" }, { "dropping-particle" : "", "family" : "Aung", "given" : "Tin", "non-dropping-particle" : "", "parse-names" : false, "suffix" : "" } ], "container-title" : "Nature Genetics", "id" : "ITEM-1", "issue" : "10", "issued" : { "date-parts" : [ [ "2012" ] ] }, "page" : "1142-1146", "title" : "Genome-wide association analyses identify three new susceptibility loci for primary angle closure glaucoma", "type" : "article-journal", "volume" : "44" }, "uris" : [ "http://www.mendeley.com/documents/?uuid=12c67eb6-8d90-411d-b2d8-c30a5bf3aef9" ] } ], "mendeley" : { "formattedCitation" : "[32]", "plainTextFormattedCitation" : "[32]", "previouslyFormattedCitation" : "[32]"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[32]</w:t>
            </w:r>
            <w:r>
              <w:rPr>
                <w:rFonts w:ascii="Arial" w:hAnsi="Arial" w:cs="Arial"/>
                <w:sz w:val="18"/>
                <w:szCs w:val="18"/>
              </w:rPr>
              <w:fldChar w:fldCharType="end"/>
            </w:r>
            <w:r>
              <w:rPr>
                <w:rFonts w:ascii="Arial" w:hAnsi="Arial" w:cs="Arial"/>
                <w:sz w:val="18"/>
                <w:szCs w:val="18"/>
              </w:rPr>
              <w:t xml:space="preserve">; </w:t>
            </w:r>
            <w:r w:rsidRPr="00F50D94">
              <w:rPr>
                <w:rFonts w:ascii="Arial" w:hAnsi="Arial" w:cs="Arial"/>
                <w:sz w:val="18"/>
                <w:szCs w:val="18"/>
              </w:rPr>
              <w:t>Bone mineral density</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"10.1038/ng.2249", "ISBN" : "1546-1718 (Electronic)\\r1061-4036 (Linking)", "ISSN" : "1061-4036", "PMID" : "22504420", "abstract" : "Bone mineral density (BMD) is the most widely used predictor of fracture risk. We performed the largest meta-analysis to date on lumbar spine and femoral neck BMD, including 17 genome-wide association studies and 32,961 individuals of European and east Asian ancestry. We tested the top BMD-associated markers for replication in 50,933 independent subjects and for association with risk of low-trauma fracture in 31,016 individuals with a history of fracture (cases) and 102,444 controls. We identified 56 loci (32 new) associated with BMD at genome-wide significance (P &lt; 5 x 10&lt;sup&gt;-8&lt;/sup&gt;)). Several of these factors cluster within the RANK-RANKL-OPG, mesenchymal stem cell differentiation, endochondral ossification and Wnt signaling pathways. However, we also discovered loci that were localized to genes not known to have a role in bone biology. Fourteen BMD-associated loci were also associated with fracture risk (P &lt; 5 x 10&lt;sup&gt;-4&lt;/sup&gt;), Bonferroni corrected), of which six reached P &lt; 5 x 10&lt;sup&gt;-8&lt;/sup&gt;, including at 18p11.21 (FAM210A), 7q21.3 (SLC25A13), 11q13.2 (LRP5), 4q22.1 (MEPE), 2p16.2 (SPTBN1) and 10q21.1 (DKK1). These findings shed light on the genetic architecture and pathophysiological mechanisms underlying BMD variation and fracture susceptibility.", "author" : [ { "dropping-particle" : "", "family" : "Estrada", "given" : "K.", "non-dropping-particle" : "", "parse-names" : false, "suffix" : "" }, { "dropping-particle" : "", "family" : "Styrkarsdottir", "given" : "U.", "non-dropping-particle" : "", "parse-names" : false, "suffix" : "" }, { "dropping-particle" : "", "family" : "Evangelou", "given" : "E.", "non-dropping-particle" : "", "parse-names" : false, "suffix" : "" }, { "dropping-particle" : "", "family" : "Hsu", "given" : "Y.H.", "non-dropping-particle" : "", "parse-names" : false, "suffix" : "" }, { "dropping-particle" : "", "family" : "Duncan", "given" : "E.L.", "non-dropping-particle" : "", "parse-names" : false, "suffix" : "" }, { "dropping-particle" : "", "family" : "Ntzani", "given" : "E.E.", "non-dropping-particle" : "", "parse-names" : false, "suffix" : "" }, { "dropping-particle" : "", "family" : "Oei", "given" : "L.", "non-dropping-particle" : "", "parse-names" : false, "suffix" : "" }, { "dropping-particle" : "", "family" : "Albagha", "given" : "O.M.E.", "non-dropping-particle" : "", "parse-names" : false, "suffix" : "" }, { "dropping-particle" : "", "family" : "Amin", "given" : "N.", "non-dropping-particle" : "", "parse-names" : false, "suffix" : "" }, { "dropping-particle" : "", "family" : "Kemp", "given" : "J.P.", "non-dropping-particle" : "", "parse-names" : false, "suffix" : "" }, { "dropping-particle" : "", "family" : "Koller", "given" : "D.L.", "non-dropping-particle" : "", "parse-names" : false, "suffix" : "" }, { "dropping-particle" : "", "family" : "Li", "given" : "G.", "non-dropping-particle" : "", "parse-names" : false, "suffix" : "" }, { "dropping-particle" : "", "family" : "Liu", "given" : "C.T.", "non-dropping-particle" : "", "parse-names" : false, "suffix" : "" }, { "dropping-particle" : "", "family" : "Minster", "given" : "R.L.", "non-dropping-particle" : "", "parse-names" : false, "suffix" : "" }, { "dropping-particle" : "", "family" : "Moayyeri", "given" : "A.", "non-dropping-particle" : "", "parse-names" : false, "suffix" : "" }, { "dropping-particle" : "", "family" : "Vandenput", "given" : "L.", "non-dropping-particle" : "", "parse-names" : false, "suffix" : "" }, { "dropping-particle" : "", "family" : "Willner", "given" : "D.", "non-dropping-particle" : "", "parse-names" : false, "suffix" : "" }, { "dropping-particle" : "", "family" : "Xiao", "given" : "S.M.", "non-dropping-particle" : "", "parse-names" : false, "suffix" : "" }, { "dropping-particle" : "", "family" : "Yerges-Armstrong", "given" : "L.M.", "non-dropping-particle" : "", "parse-names" : false, "suffix" : "" }, { "dropping-particle" : "", "family" : "Zheng", "given" : "H.F.", "non-dropping-particle" : "", "parse-names" : false, "suffix" : "" }, { "dropping-particle" : "", "family" : "Alonso", "given" : "N.", "non-dropping-particle" : "", "parse-names" : false, "suffix" : "" }, { "dropping-particle" : "", "family" : "Eriksson", "given" : "J.", "non-dropping-particle" : "", "parse-names" : false, "suffix" : "" }, { "dropping-particle" : "", "family" : "Kammerer", "given" : "C.M.", "non-dropping-particle" : "", "parse-names" : false, "suffix" : "" }, { "dropping-particle" : "", "family" : "Kaptoge", "given" : "S.K.", "non-dropping-particle" : "", "parse-names" : false, "suffix" : "" }, { "dropping-particle" : "", "family" : "Leo", "given" : "P.J.", "non-dropping-particle" : "", "parse-names" : false, "suffix" : "" }, { "dropping-particle" : "", "family" : "Thorleisffon", "given" : "G.", "non-dropping-particle" : "", "parse-names" : false, "suffix" : "" }, { "dropping-particle" : "", "family" : "Wilson", "given" : "S.G.", "non-dropping-particle" : "", "parse-names" : false, "suffix" : "" }, { "dropping-particle" : "", "family" : "Wilson", "given" : "J.F.", "non-dropping-particle" : "", "parse-names" : false, "suffix" : "" }, { "dropping-particle" : "", "family" : "Aalto", "given" : "V.", "non-dropping-particle" : "", "parse-names" : false, "suffix" : "" }, { "dropping-particle" : "", "family" : "Alen", "given" : "M.", "non-dropping-particle" : "", "parse-names" : false, "suffix" : "" }, { "dropping-particle" : "", "family" : "Aragaki", "given" : "A.K.", "non-dropping-particle" : "", "parse-names" : false, "suffix" : "" }, { "dropping-particle" : "", "family" : "Aspelund", "given" : "T.", "non-dropping-particle" : "", "parse-names" : false, "suffix" : "" }, { "dropping-particle" : "", "family" : "Center", "given" : "J.R.", "non-dropping-particle" : "", "parse-names" : false, "suffix" : "" }, { "dropping-particle" : "", "family" : "Dailana", "given" : "Z.", "non-dropping-particle" : "", "parse-names" : false, "suffix" : "" }, { "dropping-particle" : "", "family" : "Duggan", "given" : "D.", "non-dropping-particle" : "", "parse-names" : false, "suffix" : "" }, { "dropping-particle" : "", "family" : "Garcia", "given" : "M.", "non-dropping-particle" : "", "parse-names" : false, "suffix" : "" }, { "dropping-particle" : "", "family" : "Garcia-Giralt", "given" : "N.", "non-dropping-particle" : "", "parse-names" : false, "suffix" : "" }, { "dropping-particle" : "", "family" : "Giroux", "given" : "S.", "non-dropping-particle" : "", "parse-names" : false, "suffix" : "" }, { "dropping-particle" : "", "family" : "Hallmans", "given" : "G.", "non-dropping-particle" : "", "parse-names" : false, "suffix" : "" }, { "dropping-particle" : "", "family" : "Hocking", "given" : "L.J.", "non-dropping-particle" : "", "parse-names" : false, "suffix" : "" }, { "dropping-particle" : "", "family" : "Husted", "given" : "L.B.", "non-dropping-particle" : "", "parse-names" : false, "suffix" : "" }, { "dropping-particle" : "", "family" : "Jameson", "given" : "K.a.", "non-dropping-particle" : "", "parse-names" : false, "suffix" : "" }, { "dropping-particle" : "", "family" : "Khusainova", "given" : "R.", "non-dropping-particle" : "", "parse-names" : false, "suffix" : "" }, { "dropping-particle" : "", "family" : "Kim", "given" : "G.S.", "non-dropping-particle" : "", "parse-names" : false, "suffix" : "" }, { "dropping-particle" : "", "family" : "Kooperberg", "given" : "C.", "non-dropping-particle" : "", "parse-names" : false, "suffix" : "" }, { "dropping-particle" : "", "family" : "Koromila", "given" : "T.", "non-dropping-particle" : "", "parse-names" : false, "suffix" : "" }, { "dropping-particle" : "", "family" : "Kruk", "given" : "M.", "non-dropping-particle" : "", "parse-names" : false, "suffix" : "" }, { "dropping-particle" : "", "family" : "Laaksonen", "given" : "M.", "non-dropping-particle" : "", "parse-names" : false, "suffix" : "" }, { "dropping-particle" : "", "family" : "Lacroix", "given" : "A.Z.", "non-dropping-particle" : "", "parse-names" : false, "suffix" : "" }, { "dropping-particle" : "", "family" : "Lee", "given" : "S.H.", "non-dropping-particle" : "", "parse-names" : false, "suffix" : "" }, { "dropping-particle" : "", "family" : "Leung", "given" : "P.C.", "non-dropping-particle" : "", "parse-names" : false, "suffix" : "" }, { "dropping-particle" : "", "family" : "Lewis", "given" : "J.R.", "non-dropping-particle" : "", "parse-names" : false, "suffix" : "" }, { "dropping-particle" : "", "family" : "Masi", "given" : "L.", "non-dropping-particle" : "", "parse-names" : false, "suffix" : "" }, { "dropping-particle" : "", "family" : "Mencej-Bedrac", "given" : "S.", "non-dropping-particle" : "", "parse-names" : false, "suffix" : "" }, { "dropping-particle" : "", "family" : "Nguyen", "given" : "T.V.", "non-dropping-particle" : "", "parse-names" : false, "suffix" : "" }, { "dropping-particle" : "", "family" : "Nogues", "given" : "X.", "non-dropping-particle" : "", "parse-names" : false, "suffix" : "" }, { "dropping-particle" : "", "family" : "Patel", "given" : "M.S.", "non-dropping-particle" : "", "parse-names" : false, "suffix" : "" }, { "dropping-particle" : "", "family" : "Prezelj", "given" : "J.", "non-dropping-particle" : "", "parse-names" : false, "suffix" : "" }, { "dropping-particle" : "", "family" : "Rose", "given" : "L.M.", "non-dropping-particle" : "", "parse-names" : false, "suffix" : "" }, { "dropping-particle" : "", "family" : "Scollen", "given" : "S.", "non-dropping-particle" : "", "parse-names" : false, "suffix" : "" }, { "dropping-particle" : "", "family" : "Siggeirsdottir", "given" : "K.", "non-dropping-particle" : "", "parse-names" : false, "suffix" : "" }, { "dropping-particle" : "", "family" : "Smith", "given" : "A.V.", "non-dropping-particle" : "", "parse-names" : false, "suffix" : "" }, { "dropping-particle" : "", "family" : "Svensson", "given" : "O.", "non-dropping-particle" : "", "parse-names" : false, "suffix" : "" }, { "dropping-particle" : "", "family" : "Trompet", "given" : "S.", "non-dropping-particle" : "", "parse-names" : false, "suffix" : "" }, { "dropping-particle" : "", "family" : "Trummer", "given" : "O.", "non-dropping-particle" : "", "parse-names" : false, "suffix" : "" }, { "dropping-particle" : "", "family" : "Schoor", "given" : "N.M.", "non-dropping-particle" : "van", "parse-names" : false, "suffix" : "" }, { "dropping-particle" : "", "family" : "Woo", "given" : "J.", "non-dropping-particle" : "", "parse-names" : false, "suffix" : "" }, { "dropping-particle" : "", "family" : "Zhu", "given" : "K.", "non-dropping-particle" : "", "parse-names" : false, "suffix" : "" }, { "dropping-particle" : "", "family" : "Balcells", "given" : "S.", "non-dropping-particle" : "", "parse-names" : false, "suffix" : "" }, { "dropping-particle" : "", "family" : "Brandi", "given" : "M.L.", "non-dropping-particle" : "", "parse-names" : false, "suffix" : "" }, { "dropping-particle" : "", "family" : "Buckley", "given" : "B.M.", "non-dropping-particle" : "", "parse-names" : false, "suffix" : "" }, { "dropping-particle" : "", "family" : "Cheng", "given" : "S.L.", "non-dropping-particle" : "", "parse-names" : false, "suffix" : "" }, { "dropping-particle" : "", "family" : "Christiansen", "given" : "C.", "non-dropping-particle" : "", "parse-names" : false, "suffix" : "" }, { "dropping-particle" : "", "family" : "Cooper", "given" : "C.", "non-dropping-particle" : "", "parse-names" : false, "suffix" : "" }, { "dropping-particle" : "", "family" : "Dedoussis", "given" : "G.", "non-dropping-particle" : "", "parse-names" : false, "suffix" : "" }, { "dropping-particle" : "", "family" : "Ford", "given" : "I.", "non-dropping-particle" : "", "parse-names" : false, "suffix" : "" }, { "dropping-particle" : "", "family" : "Frost", "given" : "M.", "non-dropping-particle" : "", "parse-names" : false, "suffix" : "" }, { "dropping-particle" : "", "family" : "Goltzman", "given" : "D.", "non-dropping-particle" : "", "parse-names" : false, "suffix" : "" }, { "dropping-particle" : "", "family" : "Gonzalez-Macias", "given" : "J.", "non-dropping-particle" : "", "parse-names" : false, "suffix" : "" }, { "dropping-particle" : "", "family" : "Kahonen", "given" : "M.", "non-dropping-particle" : "", "parse-names" : false, "suffix" : "" }, { "dropping-particle" : "", "family" : "Karlsson", "given" : "M.", "non-dropping-particle" : "", "parse-names" : false, "suffix" : "" }, { "dropping-particle" : "", "family" : "Khusnutdinova", "given" : "E.", "non-dropping-particle" : "", "parse-names" : false, "suffix" : "" }, { "dropping-particle" : "", "family" : "Koh", "given" : "J.M.", "non-dropping-particle" : "", "parse-names" : false, "suffix" : "" }, { "dropping-particle" : "", "family" : "Kollia", "given" : "P.", "non-dropping-particle" : "", "parse-names" : false, "suffix" : "" }, { "dropping-particle" : "", "family" : "Langdahl", "given" : "B.L.", "non-dropping-particle" : "", "parse-names" : false, "suffix" : "" }, { "dropping-particle" : "", "family" : "Leslie", "given" : "W.D.", "non-dropping-particle" : "", "parse-names" : false, "suffix" : "" }, { "dropping-particle" : "", "family" : "Lips", "given" : "P.", "non-dropping-particle" : "", "parse-names" : false, "suffix" : "" }, { "dropping-particle" : "", "family" : "Ljunggren", "given" : "O.", "non-dropping-particle" : "", "parse-names" : false, "suffix" : "" }, { "dropping-particle" : "", "family" : "Lorenc", "given" : "R.S.", "non-dropping-particle" : "", "parse-names" : false, "suffix" : "" }, { "dropping-particle" : "", "family" : "Marc", "given" : "J.", "non-dropping-particle" : "", "parse-names" : false, "suffix" : "" }, { "dropping-particle" : "", "family" : "Mellstrom", "given" : "D.", "non-dropping-particle" : "", "parse-names" : false, "suffix" : "" }, { "dropping-particle" : "", "family" : "Obermayer-Pietsch", "given" : "B.", "non-dropping-particle" : "", "parse-names" : false, "suffix" : "" }, { "dropping-particle" : "", "family" : "Olmos", "given" : "J.M.", "non-dropping-particle" : "", "parse-names" : false, "suffix" : "" }, { "dropping-particle" : "", "family" : "Pettersson-Kymmer", "given" : "U.", "non-dropping-particle" : "", "parse-names" : false, "suffix" : "" }, { "dropping-particle" : "", "family" : "Reid", "given" : "D.M.", "non-dropping-particle" : "", "parse-names" : false, "suffix" : "" }, { "dropping-particle" : "", "family" : "Riancho", "given" : "J.a.", "non-dropping-particle" : "", "parse-names" : false, "suffix" : "" }, { "dropping-particle" : "", "family" : "Ridker", "given" : "P.M.", "non-dropping-particle" : "", "parse-names" : false, "suffix" : "" }, { "dropping-particle" : "", "family" : "Rousseau", "given" : "F.", "non-dropping-particle" : "", "parse-names" : false, "suffix" : "" }, { "dropping-particle" : "", "family" : "Slagboom", "given" : "P.E.", "non-dropping-particle" : "", "parse-names" : false, "suffix" : "" }, { "dropping-particle" : "", "family" : "Tang", "given" : "N.L.S.", "non-dropping-particle" : "", "parse-names" : false, "suffix" : "" }, { "dropping-particle" : "", "family" : "Urreizti", "given" : "R.", "non-dropping-particle" : "", "parse-names" : false, "suffix" : "" }, { "dropping-particle" : "", "family" : "Hul", "given" : "W.", "non-dropping-particle" : "Van", "parse-names" : false, "suffix" : "" }, { "dropping-particle" : "", "family" : "Viikari", "given" : "J.", "non-dropping-particle" : "", "parse-names" : false, "suffix" : "" }, { "dropping-particle" : "", "family" : "Zarrabeita", "given" : "M.T.", "non-dropping-particle" : "", "parse-names" : false, "suffix" : "" }, { "dropping-particle" : "", "family" : "Aulchenko", "given" : "Y.S.", "non-dropping-particle" : "", "parse-names" : false, "suffix" : "" }, { "dropping-particle" : "", "family" : "Castano-Betancourt", "given" : "M.", "non-dropping-particle" : "", "parse-names" : false, "suffix" : "" }, { "dropping-particle" : "", "family" : "Grundberg", "given" : "E.", "non-dropping-particle" : "", "parse-names" : false, "suffix" : "" }, { "dropping-particle" : "", "family" : "Herrera", "given" : "L.", "non-dropping-particle" : "", "parse-names" : false, "suffix" : "" }, { "dropping-particle" : "", "family" : "Ingvarsson", "given" : "T.", "non-dropping-particle" : "", "parse-names" : false, "suffix" : "" }, { "dropping-particle" : "", "family" : "Johannsdottir", "given" : "H.", "non-dropping-particle" : "", "parse-names" : false, "suffix" : "" }, { "dropping-particle" : "", "family" : "Kwan", "given" : "T.", "non-dropping-particle" : "", "parse-names" : false, "suffix" : "" }, { "dropping-particle" : "", "family" : "Li", "given" : "R.", "non-dropping-particle" : "", "parse-names" : false, "suffix" : "" }, { "dropping-particle" : "", "family" : "Luben", "given" : "R.", "non-dropping-particle" : "", "parse-names" : false, "suffix" : "" }, { "dropping-particle" : "", "family" : "Medina-Gomez", "given" : "C.", "non-dropping-particle" : "", "parse-names" : false, "suffix" : "" }, { "dropping-particle" : "", "family" : "Palsson", "given" : "S.T.", "non-dropping-particle" : "", "parse-names" : false, "suffix" : "" }, { "dropping-particle" : "", "family" : "Reppe", "given" : "S.", "non-dropping-particle" : "", "parse-names" : false, "suffix" : "" }, { "dropping-particle" : "", "family" : "Rotter", "given" : "J.I.", "non-dropping-particle" : "", "parse-names" : false, "suffix" : "" }, { "dropping-particle" : "", "family" : "Sigurdsson", "given" : "G.", "non-dropping-particle" : "", "parse-names" : false, "suffix" : "" }, { "dropping-particle" : "", "family" : "Meurs", "given" : "J.B.J.", "non-dropping-particle" : "van", "parse-names" : false, "suffix" : "" }, { "dropping-particle" : "", "family" : "Verlaan", "given" : "D.", "non-dropping-particle" : "", "parse-names" : false, "suffix" : "" }, { "dropping-particle" : "", "family" : "Williams", "given" : "F.M.K.", "non-dropping-particle" : "", "parse-names" : false, "suffix" : "" }, { "dropping-particle" : "", "family" : "Wood", "given" : "A.R.", "non-dropping-particle" : "", "parse-names" : false, "suffix" : "" }, { "dropping-particle" : "", "family" : "Zhou", "given" : "Y.H.", "non-dropping-particle" : "", "parse-names" : false, "suffix" : "" }, { "dropping-particle" : "", "family" : "Gautvik", "given" : "K.M.", "non-dropping-particle" : "", "parse-names" : false, "suffix" : "" }, { "dropping-particle" : "", "family" : "Pastinen", "given" : "T.", "non-dropping-particle" : "", "parse-names" : false, "suffix" : "" }, { "dropping-particle" : "", "family" : "Raychaudhuri", "given" : "S.", "non-dropping-particle" : "", "parse-names" : false, "suffix" : "" }, { "dropping-particle" : "", "family" : "Cauley", "given" : "J.a.", "non-dropping-particle" : "", "parse-names" : false, "suffix" : "" }, { "dropping-particle" : "", "family" : "Chasman", "given" : "D.I.", "non-dropping-particle" : "", "parse-names" : false, "suffix" : "" }, { "dropping-particle" : "", "family" : "Clark", "given" : "G.R.", "non-dropping-particle" : "", "parse-names" : false, "suffix" : "" }, { "dropping-particle" : "", "family" : "Cummings", "given" : "S.R.", "non-dropping-particle" : "", "parse-names" : false, "suffix" : "" }, { "dropping-particle" : "", "family" : "Danoy", "given" : "P.", "non-dropping-particle" : "", "parse-names" : false, "suffix" : "" }, { "dropping-particle" : "", "family" : "Dennison", "given" : "E.M.", "non-dropping-particle" : "", "parse-names" : false, "suffix" : "" }, { "dropping-particle" : "", "family" : "Eastell", "given" : "R.", "non-dropping-particle" : "", "parse-names" : false, "suffix" : "" }, { "dropping-particle" : "", "family" : "Eisman", "given" : "J.a.", "non-dropping-particle" : "", "parse-names" : false, "suffix" : "" }, { "dropping-particle" : "", "family" : "Gudnason", "given" : "V.", "non-dropping-particle" : "", "parse-names" : false, "suffix" : "" }, { "dropping-particle" : "", "family" : "Hofman", "given" : "A.", "non-dropping-particle" : "", "parse-names" : false, "suffix" : "" }, { "dropping-particle" : "", "family" : "Jackson", "given" : "R.D.", "non-dropping-particle" : "", "parse-names" : false, "suffix" : "" }, { "dropping-particle" : "", "family" : "Jones", "given" : "G.", "non-dropping-particle" : "", "parse-names" : false, "suffix" : "" }, { "dropping-particle" : "", "family" : "Jukema", "given" : "J.W.", "non-dropping-particle" : "", "parse-names" : false, "suffix" : "" }, { "dropping-particle" : "", "family" : "Khaw", "given" : "K.T.", "non-dropping-particle" : "", "parse-names" : false, "suffix" : "" }, { "dropping-particle" : "", "family" : "Lehtimaki", "given" : "T.", "non-dropping-particle" : "", "parse-names" : false, "suffix" : "" }, { "dropping-particle" : "", "family" : "Liu", "given" : "Y.M.", "non-dropping-particle" : "", "parse-names" : false, "suffix" : "" }, { "dropping-particle" : "", "family" : "Lorentzon", "given" : "M.", "non-dropping-particle" : "", "parse-names" : false, "suffix" : "" }, { "dropping-particle" : "", "family" : "McCloskey", "given" : "E.", "non-dropping-particle" : "", "parse-names" : false, "suffix" : "" }, { "dropping-particle" : "", "family" : "Mitchell", "given" : "B.D.", "non-dropping-particle" : "", "parse-names" : false, "suffix" : "" }, { "dropping-particle" : "", "family" : "Nandakumar", "given" : "K.", "non-dropping-particle" : "", "parse-names" : false, "suffix" : "" }, { "dropping-particle" : "", "family" : "Nicholson", "given" : "G.C.", "non-dropping-particle" : "", "parse-names" : false, "suffix" : "" }, { "dropping-particle" : "", "family" : "Oostra", "given" : "B.a.", "non-dropping-particle" : "", "parse-names" : false, "suffix" : "" }, { "dropping-particle" : "", "family" : "Peacock", "given" : "M.", "non-dropping-particle" : "", "parse-names" : false, "suffix" : "" }, { "dropping-particle" : "", "family" : "Pols", "given" : "H.a.P.", "non-dropping-particle" : "", "parse-names" : false, "suffix" : "" }, { "dropping-particle" : "", "family" : "Prince", "given" : "R.L.", "non-dropping-particle" : "", "parse-names" : false, "suffix" : "" }, { "dropping-particle" : "", "family" : "Raitakari", "given" : "O.", "non-dropping-particle" : "", "parse-names" : false, "suffix" : "" }, { "dropping-particle" : "", "family" : "Reid", "given" : "I.R.", "non-dropping-particle" : "", "parse-names" : false, "suffix" : "" }, { "dropping-particle" : "", "family" : "Robbins", "given" : "J.", "non-dropping-particle" : "", "parse-names" : false, "suffix" : "" }, { "dropping-particle" : "", "family" : "Sambrook", "given" : "P.N.", "non-dropping-particle" : "", "parse-names" : false, "suffix" : "" }, { "dropping-particle" : "", "family" : "Sham", "given" : "P.C.", "non-dropping-particle" : "", "parse-names" : false, "suffix" : "" }, { "dropping-particle" : "", "family" : "Shuldiner", "given" : "A.R.", "non-dropping-particle" : "", "parse-names" : false, "suffix" : "" }, { "dropping-particle" : "", "family" : "Tylavsky", "given" : "F.a.", "non-dropping-particle" : "", "parse-names" : false, "suffix" : "" }, { "dropping-particle" : "", "family" : "Duijn", "given" : "C.M.", "non-dropping-particle" : "van", "parse-names" : false, "suffix" : "" }, { "dropping-particle" : "", "family" : "Wareham", "given" : "N.J.", "non-dropping-particle" : "", "parse-names" : false, "suffix" : "" }, { "dropping-particle" : "", "family" : "Cupples", "given" : "L.a.", "non-dropping-particle" : "", "parse-names" : false, "suffix" : "" }, { "dropping-particle" : "", "family" : "Econs", "given" : "M.J.", "non-dropping-particle" : "", "parse-names" : false, "suffix" : "" }, { "dropping-particle" : "", "family" : "Evans", "given" : "D.M.", "non-dropping-particle" : "", "parse-names" : false, "suffix" : "" }, { "dropping-particle" : "", "family" : "Harris", "given" : "T.B.", "non-dropping-particle" : "", "parse-names" : false, "suffix" : "" }, { "dropping-particle" : "", "family" : "Kung", "given" : "A.W.C.", "non-dropping-particle" : "", "parse-names" : false, "suffix" : "" }, { "dropping-particle" : "", "family" : "Psaty", "given" : "B.M.", "non-dropping-particle" : "", "parse-names" : false, "suffix" : "" }, { "dropping-particle" : "", "family" : "Reeve", "given" : "J.", "non-dropping-particle" : "", "parse-names" : false, "suffix" : "" }, { "dropping-particle" : "", "family" : "Spector", "given" : "T.D.", "non-dropping-particle" : "", "parse-names" : false, "suffix" : "" }, { "dropping-particle" : "", "family" : "Streeten", "given" : "E.a.", "non-dropping-particle" : "", "parse-names" : false, "suffix" : "" }, { "dropping-particle" : "", "family" : "Zillikens", "given" : "M.C.", "non-dropping-particle" : "", "parse-names" : false, "suffix" : "" }, { "dropping-particle" : "", "family" : "Thorsteinsdottir", "given" : "U.", "non-dropping-particle" : "", "parse-names" : false, "suffix" : "" }, { "dropping-particle" : "", "family" : "Ohlsson", "given" : "C.", "non-dropping-particle" : "", "parse-names" : false, "suffix" : "" }, { "dropping-particle" : "", "family" : "Karasik", "given" : "D.", "non-dropping-particle" : "", "parse-names" : false, "suffix" : "" }, { "dropping-particle" : "", "family" : "Richard", "given" : "J.B.", "non-dropping-particle" : "", "parse-names" : false, "suffix" : "" }, { "dropping-particle" : "", "family" : "Brown", "given" : "M.a.", "non-dropping-particle" : "", "parse-names" : false, "suffix" : "" }, { "dropping-particle" : "", "family" : "Stefansson", "given" : "K.", "non-dropping-particle" : "", "parse-names" : false, "suffix" : "" }, { "dropping-particle" : "", "family" : "Uitterlinden", "given" : "A.G.", "non-dropping-particle" : "", "parse-names" : false, "suffix" : "" }, { "dropping-particle" : "", "family" : "Ralston", "given" : "S.H.", "non-dropping-particle" : "", "parse-names" : false, "suffix" : "" }, { "dropping-particle" : "", "family" : "Ioannidis", "given" : "J.P.a.", "non-dropping-particle" : "", "parse-names" : false, "suffix" : "" }, { "dropping-particle" : "", "family" : "Kiel", "given" : "D.P.", "non-dropping-particle" : "", "parse-names" : false, "suffix" : "" }, { "dropping-particle" : "", "family" : "Rivadeneira", "given" : "F.", "non-dropping-particle" : "", "parse-names" : false, "suffix" : "" } ], "container-title" : "Nature Genetics", "id" : "ITEM-1", "issue" : "5", "issued" : { "date-parts" : [ [ "2012" ] ] }, "page" : "491-502", "title" : "Genome-wide meta-analysis identifies 56 bone mineral density loci and reveals 14 loci associated with risk of fracture", "type" : "article-journal", "volume" : "44" }, "uris" : [ "http://www.mendeley.com/documents/?uuid=d0dbaa40-326d-40dd-803d-9a761fd44532" ] } ], "mendeley" : { "formattedCitation" : "[33]", "plainTextFormattedCitation" : "[33]", "previouslyFormattedCitation" : "[33]"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[33]</w:t>
            </w:r>
            <w:r>
              <w:rPr>
                <w:rFonts w:ascii="Arial" w:hAnsi="Arial" w:cs="Arial"/>
                <w:sz w:val="18"/>
                <w:szCs w:val="18"/>
              </w:rPr>
              <w:fldChar w:fldCharType="end"/>
            </w:r>
          </w:p>
        </w:tc>
      </w:tr>
      <w:tr w:rsidR="000F7048" w:rsidRPr="00F50D94" w14:paraId="4C255968" w14:textId="77777777" w:rsidTr="00F43643">
        <w:trPr>
          <w:trHeight w:val="404"/>
        </w:trPr>
        <w:tc>
          <w:tcPr>
            <w:tcW w:w="2178" w:type="dxa"/>
            <w:vAlign w:val="center"/>
          </w:tcPr>
          <w:p w14:paraId="5457F9B2"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Chr15:</w:t>
            </w:r>
          </w:p>
          <w:p w14:paraId="4E12FE6D"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11338900 - 11341350</w:t>
            </w:r>
          </w:p>
        </w:tc>
        <w:tc>
          <w:tcPr>
            <w:tcW w:w="1659" w:type="dxa"/>
            <w:vAlign w:val="center"/>
          </w:tcPr>
          <w:p w14:paraId="49B7707E"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5</w:t>
            </w:r>
          </w:p>
        </w:tc>
        <w:tc>
          <w:tcPr>
            <w:tcW w:w="1851" w:type="dxa"/>
            <w:vAlign w:val="center"/>
          </w:tcPr>
          <w:p w14:paraId="1D6363E6" w14:textId="77777777" w:rsidR="000F7048" w:rsidRPr="00A50C1F" w:rsidRDefault="000F7048" w:rsidP="00F43643">
            <w:pPr>
              <w:jc w:val="center"/>
              <w:rPr>
                <w:rFonts w:ascii="Arial" w:eastAsia="Times New Roman" w:hAnsi="Arial" w:cs="Arial"/>
                <w:sz w:val="18"/>
                <w:szCs w:val="18"/>
              </w:rPr>
            </w:pPr>
            <w:r w:rsidRPr="00A50C1F">
              <w:rPr>
                <w:rFonts w:ascii="Arial" w:eastAsia="Times New Roman" w:hAnsi="Arial" w:cs="Arial"/>
                <w:sz w:val="18"/>
                <w:szCs w:val="18"/>
              </w:rPr>
              <w:t>CRB2</w:t>
            </w:r>
          </w:p>
        </w:tc>
        <w:tc>
          <w:tcPr>
            <w:tcW w:w="3240" w:type="dxa"/>
            <w:vAlign w:val="center"/>
          </w:tcPr>
          <w:p w14:paraId="08FC2508"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59DBBEBF" w14:textId="77777777" w:rsidTr="00F43643">
        <w:trPr>
          <w:trHeight w:val="404"/>
        </w:trPr>
        <w:tc>
          <w:tcPr>
            <w:tcW w:w="2178" w:type="dxa"/>
            <w:vAlign w:val="center"/>
          </w:tcPr>
          <w:p w14:paraId="4FE3B8C8"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Chr19:</w:t>
            </w:r>
          </w:p>
          <w:p w14:paraId="6E34ADDD"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1287252 - 1289259</w:t>
            </w:r>
          </w:p>
        </w:tc>
        <w:tc>
          <w:tcPr>
            <w:tcW w:w="1659" w:type="dxa"/>
            <w:vAlign w:val="center"/>
          </w:tcPr>
          <w:p w14:paraId="75FEF5FC"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2</w:t>
            </w:r>
          </w:p>
        </w:tc>
        <w:tc>
          <w:tcPr>
            <w:tcW w:w="1851" w:type="dxa"/>
            <w:vAlign w:val="center"/>
          </w:tcPr>
          <w:p w14:paraId="512FCABE"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PLK5</w:t>
            </w:r>
          </w:p>
        </w:tc>
        <w:tc>
          <w:tcPr>
            <w:tcW w:w="3240" w:type="dxa"/>
            <w:vAlign w:val="center"/>
          </w:tcPr>
          <w:p w14:paraId="3181C127"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59EEFDEC" w14:textId="77777777" w:rsidTr="00F43643">
        <w:trPr>
          <w:trHeight w:val="404"/>
        </w:trPr>
        <w:tc>
          <w:tcPr>
            <w:tcW w:w="2178" w:type="dxa"/>
            <w:vAlign w:val="center"/>
          </w:tcPr>
          <w:p w14:paraId="5E318D76"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Chr19:</w:t>
            </w:r>
          </w:p>
          <w:p w14:paraId="2E0CCD2C"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14706240 - 14708325</w:t>
            </w:r>
          </w:p>
        </w:tc>
        <w:tc>
          <w:tcPr>
            <w:tcW w:w="1659" w:type="dxa"/>
            <w:vAlign w:val="center"/>
          </w:tcPr>
          <w:p w14:paraId="3C27DAA4"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12</w:t>
            </w:r>
          </w:p>
        </w:tc>
        <w:tc>
          <w:tcPr>
            <w:tcW w:w="1851" w:type="dxa"/>
            <w:vAlign w:val="center"/>
          </w:tcPr>
          <w:p w14:paraId="5FFB8E42" w14:textId="77777777" w:rsidR="000F7048" w:rsidRPr="00A50C1F" w:rsidRDefault="000F7048" w:rsidP="00F43643">
            <w:pPr>
              <w:jc w:val="center"/>
              <w:rPr>
                <w:rFonts w:ascii="Arial" w:eastAsia="Times New Roman" w:hAnsi="Arial" w:cs="Arial"/>
                <w:sz w:val="18"/>
                <w:szCs w:val="18"/>
              </w:rPr>
            </w:pPr>
            <w:r w:rsidRPr="00A50C1F">
              <w:rPr>
                <w:rFonts w:ascii="Arial" w:eastAsia="Times New Roman" w:hAnsi="Arial" w:cs="Arial"/>
                <w:sz w:val="18"/>
                <w:szCs w:val="18"/>
              </w:rPr>
              <w:t>TPM1</w:t>
            </w:r>
          </w:p>
        </w:tc>
        <w:tc>
          <w:tcPr>
            <w:tcW w:w="3240" w:type="dxa"/>
            <w:vAlign w:val="center"/>
          </w:tcPr>
          <w:p w14:paraId="508D5B28" w14:textId="77777777" w:rsidR="000F7048" w:rsidRPr="00F50D94" w:rsidRDefault="000F7048" w:rsidP="00F43643">
            <w:pPr>
              <w:jc w:val="center"/>
              <w:rPr>
                <w:rFonts w:ascii="Arial" w:hAnsi="Arial" w:cs="Arial"/>
                <w:sz w:val="18"/>
                <w:szCs w:val="18"/>
              </w:rPr>
            </w:pPr>
            <w:r>
              <w:rPr>
                <w:rFonts w:ascii="Arial" w:hAnsi="Arial" w:cs="Arial"/>
                <w:sz w:val="18"/>
                <w:szCs w:val="18"/>
              </w:rPr>
              <w:t xml:space="preserve">Mean platelet volume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"10.1038/ng.467", "ISBN" : "1546-1718 (Electronic)\\r1061-4036 (Linking)", "ISSN" : "1061-4036", "PMID" : "19820697", "abstract" : "The number and volume of cells in the blood affect a wide range of disorders including cancer and cardiovascular, metabolic, infectious and immune conditions. We consider here the genetic variation in eight clinically relevant hematological parameters, including hemoglobin levels, red and white blood cell counts and platelet counts and volume. We describe common variants within 22 genetic loci reproducibly associated with these hematological parameters in 13,943 samples from six European population-based studies, including 6 associated with red blood cell parameters, 15 associated with platelet parameters and 1 associated with total white blood cell count. We further identified a long-range haplotype at 12q24 associated with coronary artery disease and myocardial infarction in 9,479 cases and 10,527 controls. We show that this haplotype demonstrates extensive disease pleiotropy, as it contains known risk loci for type 1 diabetes, hypertension and celiac disease and has been spread by a selective sweep specific to European and geographically nearby populations.", "author" : [ { "dropping-particle" : "", "family" : "Soranzo", "given" : "Nicole", "non-dropping-particle" : "", "parse-names" : false, "suffix" : "" }, { "dropping-particle" : "", "family" : "Spector", "given" : "Tim D", "non-dropping-particle" : "", "parse-names" : false, "suffix" : "" }, { "dropping-particle" : "", "family" : "Mangino", "given" : "Massimo", "non-dropping-particle" : "", "parse-names" : false, "suffix" : "" }, { "dropping-particle" : "", "family" : "K\u00fchnel", "given" : "Brigitte", "non-dropping-particle" : "", "parse-names" : false, "suffix" : "" }, { "dropping-particle" : "", "family" : "Rendon", "given" : "Augusto", "non-dropping-particle" : "", "parse-names" : false, "suffix" : "" }, { "dropping-particle" : "", "family" : "Teumer", "given" : "Alexander", "non-dropping-particle" : "", "parse-names" : false, "suffix" : "" }, { "dropping-particle" : "", "family" : "Willenborg", "given" : "Christina", "non-dropping-particle" : "", "parse-names" : false, "suffix" : "" }, { "dropping-particle" : "", "family" : "Wright", "given" : "Benjamin", "non-dropping-particle" : "", "parse-names" : false, "suffix" : "" }, { "dropping-particle" : "", "family" : "Chen", "given" : "Li", "non-dropping-particle" : "", "parse-names" : false, "suffix" : "" }, { "dropping-particle" : "", "family" : "Li", "given" : "Mingyao", "non-dropping-particle" : "", "parse-names" : false, "suffix" : "" }, { "dropping-particle" : "", "family" : "Salo", "given" : "Perttu", "non-dropping-particle" : "", "parse-names" : false, "suffix" : "" }, { "dropping-particle" : "", "family" : "Voight", "given" : "Benjamin F", "non-dropping-particle" : "", "parse-names" : false, "suffix" : "" }, { "dropping-particle" : "", "family" : "Burns", "given" : "Philippa", "non-dropping-particle" : "", "parse-names" : false, "suffix" : "" }, { "dropping-particle" : "", "family" : "Laskowski", "given" : "Roman a", "non-dropping-particle" : "", "parse-names" : false, "suffix" : "" }, { "dropping-particle" : "", "family" : "Xue", "given" : "Yali", "non-dropping-particle" : "", "parse-names" : false, "suffix" : "" }, { "dropping-particle" : "", "family" : "Menzel", "given" : "Stephan", "non-dropping-particle" : "", "parse-names" : false, "suffix" : "" }, { "dropping-particle" : "", "family" : "Altshuler", "given" : "David", "non-dropping-particle" : "", "parse-names" : false, "suffix" : "" }, { "dropping-particle" : "", "family" : "Bradley", "given" : "John R", "non-dropping-particle" : "", "parse-names" : false, "suffix" : "" }, { "dropping-particle" : "", "family" : "Bumpstead", "given" : "Suzannah", "non-dropping-particle" : "", "parse-names" : false, "suffix" : "" }, { "dropping-particle" : "", "family" : "Burnett", "given" : "Mary-Susan", "non-dropping-particle" : "", "parse-names" : false, "suffix" : "" }, { "dropping-particle" : "", "family" : "Devaney", "given" : "Joseph", "non-dropping-particle" : "", "parse-names" : false, "suffix" : "" }, { "dropping-particle" : "", "family" : "D\u00f6ring", "given" : "Angela", "non-dropping-particle" : "", "parse-names" : false, "suffix" : "" }, { "dropping-particle" : "", "family" : "Elosua", "given" : "Roberto", "non-dropping-particle" : "", "parse-names" : false, "suffix" : "" }, { "dropping-particle" : "", "family" : "Epstein", "given" : "Stephen E", "non-dropping-particle" : "", "parse-names" : false, "suffix" : "" }, { "dropping-particle" : "", "family" : "Erber", "given" : "Wendy", "non-dropping-particle" : "", "parse-names" : false, "suffix" : "" }, { "dropping-particle" : "", "family" : "Falchi", "given" : "Mario", "non-dropping-particle" : "", "parse-names" : false, "suffix" : "" }, { "dropping-particle" : "", "family" : "Garner", "given" : "Stephen F", "non-dropping-particle" : "", "parse-names" : false, "suffix" : "" }, { "dropping-particle" : "", "family" : "Ghori", "given" : "Mohammed J R", "non-dropping-particle" : "", "parse-names" : false, "suffix" : "" }, { "dropping-particle" : "", "family" : "Goodall", "given" : "Alison H", "non-dropping-particle" : "", "parse-names" : false, "suffix" : "" }, { "dropping-particle" : "", "family" : "Gwilliam", "given" : "Rhian", "non-dropping-particle" : "", "parse-names" : false, "suffix" : "" }, { "dropping-particle" : "", "family" : "Hakonarson", "given" : "Hakon H", "non-dropping-particle" : "", "parse-names" : false, "suffix" : "" }, { "dropping-particle" : "", "family" : "Hall", "given" : "Alistair S", "non-dropping-particle" : "", "parse-names" : false, "suffix" : "" }, { "dropping-particle" : "", "family" : "Hammond", "given" : "Naomi", "non-dropping-particle" : "", "parse-names" : false, "suffix" : "" }, { "dropping-particle" : "", "family" : "Hengstenberg", "given" : "Christian", "non-dropping-particle" : "", "parse-names" : false, "suffix" : "" }, { "dropping-particle" : "", "family" : "Illig", "given" : "Thomas", "non-dropping-particle" : "", "parse-names" : false, "suffix" : "" }, { "dropping-particle" : "", "family" : "K\u00f6nig", "given" : "Inke R", "non-dropping-particle" : "", "parse-names" : false, "suffix" : "" }, { "dropping-particle" : "", "family" : "Knouff", "given" : "Christopher W", "non-dropping-particle" : "", "parse-names" : false, "suffix" : "" }, { "dropping-particle" : "", "family" : "McPherson", "given" : "Ruth", "non-dropping-particle" : "", "parse-names" : false, "suffix" : "" }, { "dropping-particle" : "", "family" : "Melander", "given" : "Olle", "non-dropping-particle" : "", "parse-names" : false, "suffix" : "" }, { "dropping-particle" : "", "family" : "Mooser", "given" : "Vincent", "non-dropping-particle" : "", "parse-names" : false, "suffix" : "" }, { "dropping-particle" : "", "family" : "Nauck", "given" : "Matthias", "non-dropping-particle" : "", "parse-names" : false, "suffix" : "" }, { "dropping-particle" : "", "family" : "Nieminen", "given" : "Markku S", "non-dropping-particle" : "", "parse-names" : false, "suffix" : "" }, { "dropping-particle" : "", "family" : "O'Donnell", "given" : "Christopher J", "non-dropping-particle" : "", "parse-names" : false, "suffix" : "" }, { "dropping-particle" : "", "family" : "Peltonen", "given" : "Leena", "non-dropping-particle" : "", "parse-names" : false, "suffix" : "" }, { "dropping-particle" : "", "family" : "Potter", "given" : "Simon C", "non-dropping-particle" : "", "parse-names" : false, "suffix" : "" }, { "dropping-particle" : "", "family" : "Prokisch", "given" : "Holger", "non-dropping-particle" : "", "parse-names" : false, "suffix" : "" }, { "dropping-particle" : "", "family" : "Rader", "given" : "Daniel J", "non-dropping-particle" : "", "parse-names" : false, "suffix" : "" }, { "dropping-particle" : "", "family" : "Rice", "given" : "Catherine M", "non-dropping-particle" : "", "parse-names" : false, "suffix" : "" }, { "dropping-particle" : "", "family" : "Roberts", "given" : "Robert", "non-dropping-particle" : "", "parse-names" : false, "suffix" : "" }, { "dropping-particle" : "", "family" : "Salomaa", "given" : "Veikko", "non-dropping-particle" : "", "parse-names" : false, "suffix" : "" }, { "dropping-particle" : "", "family" : "Sambrook", "given" : "Jennifer", "non-dropping-particle" : "", "parse-names" : false, "suffix" : "" }, { "dropping-particle" : "", "family" : "Schreiber", "given" : "Stefan", "non-dropping-particle" : "", "parse-names" : false, "suffix" : "" }, { "dropping-particle" : "", "family" : "Schunkert", "given" : "Heribert", "non-dropping-particle" : "", "parse-names" : false, "suffix" : "" }, { "dropping-particle" : "", "family" : "Schwartz", "given" : "Stephen M", "non-dropping-particle" : "", "parse-names" : false, "suffix" : "" }, { "dropping-particle" : "", "family" : "Serbanovic-Canic", "given" : "Jovana", "non-dropping-particle" : "", "parse-names" : false, "suffix" : "" }, { "dropping-particle" : "", "family" : "Sinisalo", "given" : "Juha", "non-dropping-particle" : "", "parse-names" : false, "suffix" : "" }, { "dropping-particle" : "", "family" : "Siscovick", "given" : "David S", "non-dropping-particle" : "", "parse-names" : false, "suffix" : "" }, { "dropping-particle" : "", "family" : "Stark", "given" : "Klaus", "non-dropping-particle" : "", "parse-names" : false, "suffix" : "" }, { "dropping-particle" : "", "family" : "Surakka", "given" : "Ida", "non-dropping-particle" : "", "parse-names" : false, "suffix" : "" }, { "dropping-particle" : "", "family" : "Stephens", "given" : "Jonathan", "non-dropping-particle" : "", "parse-names" : false, "suffix" : "" }, { "dropping-particle" : "", "family" : "Thompson", "given" : "John R", "non-dropping-particle" : "", "parse-names" : false, "suffix" : "" }, { "dropping-particle" : "", "family" : "V\u00f6lker", "given" : "Uwe", "non-dropping-particle" : "", "parse-names" : false, "suffix" : "" }, { "dropping-particle" : "", "family" : "V\u00f6lzke", "given" : "Henry", "non-dropping-particle" : "", "parse-names" : false, "suffix" : "" }, { "dropping-particle" : "", "family" : "Watkins", "given" : "Nicholas a", "non-dropping-particle" : "", "parse-names" : false, "suffix" : "" }, { "dropping-particle" : "", "family" : "Wells", "given" : "George a", "non-dropping-particle" : "", "parse-names" : false, "suffix" : "" }, { "dropping-particle" : "", "family" : "Wichmann", "given" : "H-Erich", "non-dropping-particle" : "", "parse-names" : false, "suffix" : "" }, { "dropping-particle" : "", "family" : "Heel", "given" : "David a", "non-dropping-particle" : "Van", "parse-names" : false, "suffix" : "" }, { "dropping-particle" : "", "family" : "Tyler-Smith", "given" : "Chris", "non-dropping-particle" : "", "parse-names" : false, "suffix" : "" }, { "dropping-particle" : "", "family" : "Thein", "given" : "Swee Lay", "non-dropping-particle" : "", "parse-names" : false, "suffix" : "" }, { "dropping-particle" : "", "family" : "Kathiresan", "given" : "Sekar", "non-dropping-particle" : "", "parse-names" : false, "suffix" : "" }, { "dropping-particle" : "", "family" : "Perola", "given" : "Markus", "non-dropping-particle" : "", "parse-names" : false, "suffix" : "" }, { "dropping-particle" : "", "family" : "Reilly", "given" : "Muredach P", "non-dropping-particle" : "", "parse-names" : false, "suffix" : "" }, { "dropping-particle" : "", "family" : "Stewart", "given" : "Alexandre F R", "non-dropping-particle" : "", "parse-names" : false, "suffix" : "" }, { "dropping-particle" : "", "family" : "Erdmann", "given" : "Jeanette", "non-dropping-particle" : "", "parse-names" : false, "suffix" : "" }, { "dropping-particle" : "", "family" : "Samani", "given" : "Nilesh J", "non-dropping-particle" : "", "parse-names" : false, "suffix" : "" }, { "dropping-particle" : "", "family" : "Meisinger", "given" : "Christa", "non-dropping-particle" : "", "parse-names" : false, "suffix" : "" }, { "dropping-particle" : "", "family" : "Greinacher", "given" : "Andreas", "non-dropping-particle" : "", "parse-names" : false, "suffix" : "" }, { "dropping-particle" : "", "family" : "Deloukas", "given" : "Panos", "non-dropping-particle" : "", "parse-names" : false, "suffix" : "" }, { "dropping-particle" : "", "family" : "Ouwehand", "given" : "Willem H", "non-dropping-particle" : "", "parse-names" : false, "suffix" : "" }, { "dropping-particle" : "", "family" : "Gieger", "given" : "Christian", "non-dropping-particle" : "", "parse-names" : false, "suffix" : "" } ], "container-title" : "Nature Genetics", "id" : "ITEM-1", "issue" : "11", "issued" : { "date-parts" : [ [ "2009" ] ] }, "page" : "1182-1190", "publisher" : "Nature Publishing Group", "title" : "A genome-wide meta-analysis identifies 22 loci associated with eight hematological parameters in the HaemGen consortium.", "type" : "article-journal", "volume" : "41" }, "uris" : [ "http://www.mendeley.com/documents/?uuid=b8ee4df0-96cb-43db-b096-f6366fad68e5" ] } ], "mendeley" : { "formattedCitation" : "[34]", "plainTextFormattedCitation" : "[34]", "previouslyFormattedCitation" : "[34]"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[34]</w:t>
            </w:r>
            <w:r>
              <w:rPr>
                <w:rFonts w:ascii="Arial" w:hAnsi="Arial" w:cs="Arial"/>
                <w:sz w:val="18"/>
                <w:szCs w:val="18"/>
              </w:rPr>
              <w:fldChar w:fldCharType="end"/>
            </w:r>
            <w:r>
              <w:rPr>
                <w:rFonts w:ascii="Arial" w:hAnsi="Arial" w:cs="Arial"/>
                <w:sz w:val="18"/>
                <w:szCs w:val="18"/>
              </w:rPr>
              <w:t>; P</w:t>
            </w:r>
            <w:r w:rsidRPr="00A50C1F">
              <w:rPr>
                <w:rFonts w:ascii="Arial" w:hAnsi="Arial" w:cs="Arial"/>
                <w:sz w:val="18"/>
                <w:szCs w:val="18"/>
              </w:rPr>
              <w:t>latelet count</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"10.1038/nature10659", "ISBN" : "1476-4687 (Electronic)\\n0028-0836 (Linking)", "ISSN" : "0028-0836", "PMID" : "22139419", "abstract" : "Platelets are the second most abundant cell type in blood and are essential for maintaining haemostasis. Their count and volume are tightly controlled within narrow physiological ranges, but there is only limited understanding of the molecular processes controlling both traits. Here we carried out a high-powered meta-analysis of genome-wide association studies (GWAS) in up to 66,867 individuals of European ancestry, followed by extensive biological and functional assessment. We identified 68 genomic loci reliably associated with platelet count and volume mapping to established and putative novel regulators of megakaryopoiesis and platelet formation. These genes show megakaryocyte-specific gene expression patterns and extensive network connectivity. Using gene silencing in Danio rerio and Drosophila melanogaster, we identified 11 of the genes as novel regulators of blood cell formation. Taken together, our findings advance understanding of novel gene functions controlling fate-determining events during megakaryopoiesis and platelet formation, providing a new example of successful translation of GWAS to function.", "author" : [ { "dropping-particle" : "", "family" : "Gieger", "given" : "C", "non-dropping-particle" : "", "parse-names" : false, "suffix" : "" }, { "dropping-particle" : "", "family" : "K\u00fchnel", "given" : "B", "non-dropping-particle" : "", "parse-names" : false, "suffix" : "" }, { "dropping-particle" : "", "family" : "Radhakrishnan", "given" : "a", "non-dropping-particle" : "", "parse-names" : false, "suffix" : "" }, { "dropping-particle" : "", "family" : "Cvejic", "given" : "a", "non-dropping-particle" : "", "parse-names" : false, "suffix" : "" }, { "dropping-particle" : "", "family" : "Serbanovic-Canic", "given" : "J", "non-dropping-particle" : "", "parse-names" : false, "suffix" : "" }, { "dropping-particle" : "", "family" : "Meacham", "given" : "S", "non-dropping-particle" : "", "parse-names" : false, "suffix" : "" }, { "dropping-particle" : "", "family" : "Voss", "given" : "K", "non-dropping-particle" : "", "parse-names" : false, "suffix" : "" }, { "dropping-particle" : "", "family" : "Stephens", "given" : "J", "non-dropping-particle" : "", "parse-names" : false, "suffix" : "" }, { "dropping-particle" : "", "family" : "Attwood", "given" : "a", "non-dropping-particle" : "", "parse-names" : false, "suffix" : "" }, { "dropping-particle" : "", "family" : "Jolley", "given" : "J", "non-dropping-particle" : "", "parse-names" : false, "suffix" : "" }, { "dropping-particle" : "", "family" : "Lloyd-Jones", "given" : "H", "non-dropping-particle" : "", "parse-names" : false, "suffix" : "" }, { "dropping-particle" : "", "family" : "Sambrook", "given" : "J", "non-dropping-particle" : "", "parse-names" : false, "suffix" : "" }, { "dropping-particle" : "", "family" : "Rendon", "given" : "a", "non-dropping-particle" : "", "parse-names" : false, "suffix" : "" }, { "dropping-particle" : "", "family" : "Ouwehand", "given" : "Wh", "non-dropping-particle" : "", "parse-names" : false, "suffix" : "" }, { "dropping-particle" : "", "family" : "Radhakrishnan", "given" : "a", "non-dropping-particle" : "", "parse-names" : false, "suffix" : "" }, { "dropping-particle" : "", "family" : "Cvejic", "given" : "a", "non-dropping-particle" : "", "parse-names" : false, "suffix" : "" }, { "dropping-particle" : "", "family" : "Serbanovic-Canic", "given" : "J", "non-dropping-particle" : "", "parse-names" : false, "suffix" : "" }, { "dropping-particle" : "", "family" : "Meacham", "given" : "S", "non-dropping-particle" : "", "parse-names" : false, "suffix" : "" }, { "dropping-particle" : "", "family" : "Ramirez-Solis", "given" : "R", "non-dropping-particle" : "", "parse-names" : false, "suffix" : "" }, { "dropping-particle" : "", "family" : "Shin", "given" : "S-Y", "non-dropping-particle" : "", "parse-names" : false, "suffix" : "" }, { "dropping-particle" : "", "family" : "Kanoni", "given" : "S", "non-dropping-particle" : "", "parse-names" : false, "suffix" : "" }, { "dropping-particle" : "", "family" : "Attwood", "given" : "a", "non-dropping-particle" : "", "parse-names" : false, "suffix" : "" }, { "dropping-particle" : "", "family" : "Memari", "given" : "Y", "non-dropping-particle" : "", "parse-names" : false, "suffix" : "" }, { "dropping-particle" : "", "family" : "Yang", "given" : "T-P", "non-dropping-particle" : "", "parse-names" : false, "suffix" : "" }, { "dropping-particle" : "", "family" : "Deloukas", "given" : "P", "non-dropping-particle" : "", "parse-names" : false, "suffix" : "" }, { "dropping-particle" : "", "family" : "Stemple", "given" : "D", "non-dropping-particle" : "", "parse-names" : false, "suffix" : "" }, { "dropping-particle" : "", "family" : "Ouwehand", "given" : "Wh", "non-dropping-particle" : "", "parse-names" : false, "suffix" : "" }, { "dropping-particle" : "", "family" : "Soranzo", "given" : "N", "non-dropping-particle" : "", "parse-names" : false, "suffix" : "" }, { "dropping-particle" : "", "family" : "Tang", "given" : "W", "non-dropping-particle" : "", "parse-names" : false, "suffix" : "" }, { "dropping-particle" : "", "family" : "Folsom", "given" : "Ar", "non-dropping-particle" : "", "parse-names" : false, "suffix" : "" }, { "dropping-particle" : "", "family" : "Porcu", "given" : "E", "non-dropping-particle" : "", "parse-names" : false, "suffix" : "" }, { "dropping-particle" : "", "family" : "Cucca", "given" : "F", "non-dropping-particle" : "", "parse-names" : false, "suffix" : "" }, { "dropping-particle" : "", "family" : "Maschio", "given" : "a", "non-dropping-particle" : "", "parse-names" : false, "suffix" : "" }, { "dropping-particle" : "", "family" : "Uda", "given" : "M", "non-dropping-particle" : "", "parse-names" : false, "suffix" : "" }, { "dropping-particle" : "", "family" : "Sanna", "given" : "S", "non-dropping-particle" : "", "parse-names" : false, "suffix" : "" }, { "dropping-particle" : "", "family" : "Pistis", "given" : "G", "non-dropping-particle" : "", "parse-names" : false, "suffix" : "" }, { "dropping-particle" : "", "family" : "Sala", "given" : "C", "non-dropping-particle" : "", "parse-names" : false, "suffix" : "" }, { "dropping-particle" : "", "family" : "Toniolo", "given" : "D", "non-dropping-particle" : "", "parse-names" : false, "suffix" : "" }, { "dropping-particle" : "", "family" : "Elling", "given" : "U", "non-dropping-particle" : "", "parse-names" : false, "suffix" : "" }, { "dropping-particle" : "", "family" : "Penninger", "given" : "J", "non-dropping-particle" : "", "parse-names" : false, "suffix" : "" }, { "dropping-particle" : "", "family" : "Goodall", "given" : "Ah", "non-dropping-particle" : "", "parse-names" : false, "suffix" : "" }, { "dropping-particle" : "", "family" : "Samani", "given" : "Nj", "non-dropping-particle" : "", "parse-names" : false, "suffix" : "" }, { "dropping-particle" : "", "family" : "Goodall", "given" : "Ah", "non-dropping-particle" : "", "parse-names" : false, "suffix" : "" }, { "dropping-particle" : "", "family" : "Samani", "given" : "Nj", "non-dropping-particle" : "", "parse-names" : false, "suffix" : "" }, { "dropping-particle" : "", "family" : "Labrune", "given" : "Y", "non-dropping-particle" : "", "parse-names" : false, "suffix" : "" }, { "dropping-particle" : "", "family" : "Bonnefond", "given" : "a", "non-dropping-particle" : "", "parse-names" : false, "suffix" : "" }, { "dropping-particle" : "", "family" : "Froguel", "given" : "P", "non-dropping-particle" : "", "parse-names" : false, "suffix" : "" }, { "dropping-particle" : "", "family" : "Lopez", "given" : "Lm", "non-dropping-particle" : "", "parse-names" : false, "suffix" : "" }, { "dropping-particle" : "", "family" : "Porteous", "given" : "Dj", "non-dropping-particle" : "", "parse-names" : false, "suffix" : "" }, { "dropping-particle" : "", "family" : "Starr", "given" : "Jm", "non-dropping-particle" : "", "parse-names" : false, "suffix" : "" }, { "dropping-particle" : "", "family" : "Visscher", "given" : "Pm", "non-dropping-particle" : "", "parse-names" : false, "suffix" : "" }, { "dropping-particle" : "", "family" : "Deary", "given" : "Ij", "non-dropping-particle" : "", "parse-names" : false, "suffix" : "" }, { "dropping-particle" : "", "family" : "Lopez", "given" : "Lm", "non-dropping-particle" : "", "parse-names" : false, "suffix" : "" }, { "dropping-particle" : "", "family" : "Davies", "given" : "G", "non-dropping-particle" : "", "parse-names" : false, "suffix" : "" }, { "dropping-particle" : "", "family" : "Deary", "given" : "Ij", "non-dropping-particle" : "", "parse-names" : false, "suffix" : "" }, { "dropping-particle" : "", "family" : "M\u00e4gi", "given" : "R", "non-dropping-particle" : "", "parse-names" : false, "suffix" : "" }, { "dropping-particle" : "", "family" : "Okada", "given" : "Y", "non-dropping-particle" : "", "parse-names" : false, "suffix" : "" }, { "dropping-particle" : "", "family" : "Takahashi", "given" : "a", "non-dropping-particle" : "", "parse-names" : false, "suffix" : "" }, { "dropping-particle" : "", "family" : "Kamatani", "given" : "N", "non-dropping-particle" : "", "parse-names" : false, "suffix" : "" }, { "dropping-particle" : "", "family" : "Okada", "given" : "Y", "non-dropping-particle" : "", "parse-names" : false, "suffix" : "" }, { "dropping-particle" : "", "family" : "Pirastu", "given" : "N", "non-dropping-particle" : "", "parse-names" : false, "suffix" : "" }, { "dropping-particle" : "", "family" : "Dadamo", "given" : "P", "non-dropping-particle" : "", "parse-names" : false, "suffix" : "" }, { "dropping-particle" : "", "family" : "Ulivi", "given" : "S", "non-dropping-particle" : "", "parse-names" : false, "suffix" : "" }, { "dropping-particle" : "", "family" : "Gasparini", "given" : "P", "non-dropping-particle" : "", "parse-names" : false, "suffix" : "" }, { "dropping-particle" : "", "family" : "Sorice", "given" : "R", "non-dropping-particle" : "", "parse-names" : false, "suffix" : "" }, { "dropping-particle" : "", "family" : "Ruggiero", "given" : "D", "non-dropping-particle" : "", "parse-names" : false, "suffix" : "" }, { "dropping-particle" : "", "family" : "Ciullo", "given" : "M", "non-dropping-particle" : "", "parse-names" : false, "suffix" : "" }, { "dropping-particle" : "", "family" : "Teumer", "given" : "a", "non-dropping-particle" : "", "parse-names" : false, "suffix" : "" }, { "dropping-particle" : "", "family" : "V\u00f6lker", "given" : "U", "non-dropping-particle" : "", "parse-names" : false, "suffix" : "" }, { "dropping-particle" : "", "family" : "Zhang", "given" : "W", "non-dropping-particle" : "", "parse-names" : false, "suffix" : "" }, { "dropping-particle" : "", "family" : "Chambers", "given" : "Jc", "non-dropping-particle" : "", "parse-names" : false, "suffix" : "" }, { "dropping-particle" : "", "family" : "Elliott", "given" : "P", "non-dropping-particle" : "", "parse-names" : false, "suffix" : "" }, { "dropping-particle" : "", "family" : "Bis", "given" : "Jc", "non-dropping-particle" : "", "parse-names" : false, "suffix" : "" }, { "dropping-particle" : "", "family" : "Wiggins", "given" : "Kl", "non-dropping-particle" : "", "parse-names" : false, "suffix" : "" }, { "dropping-particle" : "", "family" : "Ellinghaus", "given" : "D", "non-dropping-particle" : "", "parse-names" : false, "suffix" : "" }, { "dropping-particle" : "", "family" : "Schreiber", "given" : "S", "non-dropping-particle" : "", "parse-names" : false, "suffix" : "" }, { "dropping-particle" : "", "family" : "Franke", "given" : "a", "non-dropping-particle" : "", "parse-names" : false, "suffix" : "" }, { "dropping-particle" : "", "family" : "G\u00f6gele", "given" : "M", "non-dropping-particle" : "", "parse-names" : false, "suffix" : "" }, { "dropping-particle" : "", "family" : "Pramstaller", "given" : "Pp", "non-dropping-particle" : "", "parse-names" : false, "suffix" : "" }, { "dropping-particle" : "", "family" : "Hicks", "given" : "Aa", "non-dropping-particle" : "", "parse-names" : false, "suffix" : "" }, { "dropping-particle" : "", "family" : "Hottenga", "given" : "J-J", "non-dropping-particle" : "", "parse-names" : false, "suffix" : "" }, { "dropping-particle" : "", "family" : "Ejc", "given" : "De Geus", "non-dropping-particle" : "", "parse-names" : false, "suffix" : "" }, { "dropping-particle" : "", "family" : "Willemsen", "given" : "G", "non-dropping-particle" : "", "parse-names" : false, "suffix" : "" }, { "dropping-particle" : "", "family" : "Boomsma", "given" : "Di", "non-dropping-particle" : "", "parse-names" : false, "suffix" : "" }, { "dropping-particle" : "", "family" : "Langenberg", "given" : "C", "non-dropping-particle" : "", "parse-names" : false, "suffix" : "" }, { "dropping-particle" : "", "family" : "Loos", "given" : "Rjf", "non-dropping-particle" : "", "parse-names" : false, "suffix" : "" }, { "dropping-particle" : "", "family" : "J", "given" : "Hua Zhao", "non-dropping-particle" : "", "parse-names" : false, "suffix" : "" }, { "dropping-particle" : "", "family" : "Wareham", "given" : "Nj", "non-dropping-particle" : "", "parse-names" : false, "suffix" : "" }, { "dropping-particle" : "", "family" : "Kovacs", "given" : "P", "non-dropping-particle" : "", "parse-names" : false, "suffix" : "" }, { "dropping-particle" : "", "family" : "O'reilly", "given" : "Pf", "non-dropping-particle" : "", "parse-names" : false, "suffix" : "" }, { "dropping-particle" : "", "family" : "Jarvelin", "given" : "M-R", "non-dropping-particle" : "", "parse-names" : false, "suffix" : "" }, { "dropping-particle" : "", "family" : "Shin", "given" : "S-Y", "non-dropping-particle" : "", "parse-names" : false, "suffix" : "" }, { "dropping-particle" : "", "family" : "Hammond", "given" : "C", "non-dropping-particle" : "", "parse-names" : false, "suffix" : "" }, { "dropping-particle" : "", "family" : "Mangino", "given" : "M", "non-dropping-particle" : "", "parse-names" : false, "suffix" : "" }, { "dropping-particle" : "", "family" : "Memari", "given" : "Y", "non-dropping-particle" : "", "parse-names" : false, "suffix" : "" }, { "dropping-particle" : "", "family" : "Spector", "given" : "Td", "non-dropping-particle" : "", "parse-names" : false, "suffix" : "" }, { "dropping-particle" : "", "family" : "M\u00e4gi", "given" : "R", "non-dropping-particle" : "", "parse-names" : false, "suffix" : "" }, { "dropping-particle" : "", "family" : "Esko", "given" : "T", "non-dropping-particle" : "", "parse-names" : false, "suffix" : "" }, { "dropping-particle" : "", "family" : "Pullat", "given" : "J", "non-dropping-particle" : "", "parse-names" : false, "suffix" : "" }, { "dropping-particle" : "", "family" : "Metspalu", "given" : "a", "non-dropping-particle" : "", "parse-names" : false, "suffix" : "" }, { "dropping-particle" : "", "family" : "Esko", "given" : "T", "non-dropping-particle" : "", "parse-names" : false, "suffix" : "" }, { "dropping-particle" : "", "family" : "Metspalu", "given" : "a", "non-dropping-particle" : "", "parse-names" : false, "suffix" : "" }, { "dropping-particle" : "", "family" : "Esko", "given" : "T", "non-dropping-particle" : "", "parse-names" : false, "suffix" : "" }, { "dropping-particle" : "", "family" : "Metspalu", "given" : "a", "non-dropping-particle" : "", "parse-names" : false, "suffix" : "" }, { "dropping-particle" : "", "family" : "Hartiala", "given" : "J", "non-dropping-particle" : "", "parse-names" : false, "suffix" : "" }, { "dropping-particle" : "", "family" : "Allayee", "given" : "H", "non-dropping-particle" : "", "parse-names" : false, "suffix" : "" }, { "dropping-particle" : "", "family" : "Hartiala", "given" : "J", "non-dropping-particle" : "", "parse-names" : false, "suffix" : "" }, { "dropping-particle" : "", "family" : "Allayee", "given" : "H", "non-dropping-particle" : "", "parse-names" : false, "suffix" : "" }, { "dropping-particle" : "", "family" : "Kanoni", "given" : "S", "non-dropping-particle" : "", "parse-names" : false, "suffix" : "" }, { "dropping-particle" : "", "family" : "Dedoussis", "given" : "Gv", "non-dropping-particle" : "", "parse-names" : false, "suffix" : "" }, { "dropping-particle" : "", "family" : "Murgia", "given" : "F", "non-dropping-particle" : "", "parse-names" : false, "suffix" : "" }, { "dropping-particle" : "", "family" : "Biino", "given" : "G", "non-dropping-particle" : "", "parse-names" : false, "suffix" : "" }, { "dropping-particle" : "", "family" : "Pirastu", "given" : "M", "non-dropping-particle" : "", "parse-names" : false, "suffix" : "" }, { "dropping-particle" : "", "family" : "Parsa", "given" : "a", "non-dropping-particle" : "", "parse-names" : false, "suffix" : "" }, { "dropping-particle" : "", "family" : "Gibson", "given" : "Qd", "non-dropping-particle" : "", "parse-names" : false, "suffix" : "" }, { "dropping-particle" : "", "family" : "Mitchell", "given" : "Bd", "non-dropping-particle" : "", "parse-names" : false, "suffix" : "" }, { "dropping-particle" : "", "family" : "Shuldiner", "given" : "Ar", "non-dropping-particle" : "", "parse-names" : false, "suffix" : "" }, { "dropping-particle" : "", "family" : "P", "given" : "Van Der Harst", "non-dropping-particle" : "", "parse-names" : false, "suffix" : "" }, { "dropping-particle" : "", "family" : "Ra", "given" : "De Boer", "non-dropping-particle" : "", "parse-names" : false, "suffix" : "" }, { "dropping-particle" : "", "family" : "I", "given" : "Mateo Leach", "non-dropping-particle" : "", "parse-names" : false, "suffix" : "" }, { "dropping-particle" : "", "family" : "Dj", "given" : "Van Veldhuisen", "non-dropping-particle" : "", "parse-names" : false, "suffix" : "" }, { "dropping-particle" : "", "family" : "C", "given" : "Ellen Van Der Schoot", "non-dropping-particle" : "", "parse-names" : false, "suffix" : "" }, { "dropping-particle" : "", "family" : "Balkau", "given" : "B", "non-dropping-particle" : "", "parse-names" : false, "suffix" : "" }, { "dropping-particle" : "", "family" : "Balkau", "given" : "B", "non-dropping-particle" : "", "parse-names" : false, "suffix" : "" }, { "dropping-particle" : "", "family" : "Bastardot", "given" : "F", "non-dropping-particle" : "", "parse-names" : false, "suffix" : "" }, { "dropping-particle" : "", "family" : "Basu", "given" : "S", "non-dropping-particle" : "", "parse-names" : false, "suffix" : "" }, { "dropping-particle" : "", "family" : "Feng", "given" : "W", "non-dropping-particle" : "", "parse-names" : false, "suffix" : "" }, { "dropping-particle" : "", "family" : "Baumeister", "given" : "Se", "non-dropping-particle" : "", "parse-names" : false, "suffix" : "" }, { "dropping-particle" : "", "family" : "Biino", "given" : "G", "non-dropping-particle" : "", "parse-names" : false, "suffix" : "" }, { "dropping-particle" : "", "family" : "Pirastu", "given" : "M", "non-dropping-particle" : "", "parse-names" : false, "suffix" : "" }, { "dropping-particle" : "", "family" : "Biino", "given" : "G", "non-dropping-particle" : "", "parse-names" : false, "suffix" : "" }, { "dropping-particle" : "", "family" : "Toniolo", "given" : "D", "non-dropping-particle" : "", "parse-names" : false, "suffix" : "" }, { "dropping-particle" : "", "family" : "Bomba", "given" : "L", "non-dropping-particle" : "", "parse-names" : false, "suffix" : "" }, { "dropping-particle" : "", "family" : "Cambien", "given" : "F", "non-dropping-particle" : "", "parse-names" : false, "suffix" : "" }, { "dropping-particle" : "", "family" : "D\u00f6ring", "given" : "a", "non-dropping-particle" : "", "parse-names" : false, "suffix" : "" }, { "dropping-particle" : "", "family" : "Wichmann", "given" : "H-E", "non-dropping-particle" : "", "parse-names" : false, "suffix" : "" }, { "dropping-particle" : "", "family" : "D\u00f6ring", "given" : "a", "non-dropping-particle" : "", "parse-names" : false, "suffix" : "" }, { "dropping-particle" : "", "family" : "Meisinger", "given" : "C", "non-dropping-particle" : "", "parse-names" : false, "suffix" : "" }, { "dropping-particle" : "", "family" : "Elliott", "given" : "P", "non-dropping-particle" : "", "parse-names" : false, "suffix" : "" }, { "dropping-particle" : "", "family" : "Erdmann", "given" : "J", "non-dropping-particle" : "", "parse-names" : false, "suffix" : "" }, { "dropping-particle" : "", "family" : "Schunkert", "given" : "H", "non-dropping-particle" : "", "parse-names" : false, "suffix" : "" }, { "dropping-particle" : "", "family" : "Evans", "given" : "Dm", "non-dropping-particle" : "", "parse-names" : false, "suffix" : "" }, { "dropping-particle" : "", "family" : "Ring", "given" : "Sm", "non-dropping-particle" : "", "parse-names" : false, "suffix" : "" }, { "dropping-particle" : "", "family" : "Falchi", "given" : "M", "non-dropping-particle" : "", "parse-names" : false, "suffix" : "" }, { "dropping-particle" : "", "family" : "Froguel", "given" : "P", "non-dropping-particle" : "", "parse-names" : false, "suffix" : "" }, { "dropping-particle" : "", "family" : "Frazer", "given" : "Ih", "non-dropping-particle" : "", "parse-names" : false, "suffix" : "" }, { "dropping-particle" : "", "family" : "Glazer", "given" : "Nl", "non-dropping-particle" : "", "parse-names" : false, "suffix" : "" }, { "dropping-particle" : "", "family" : "Hartikainen", "given" : "a-L", "non-dropping-particle" : "", "parse-names" : false, "suffix" : "" }, { "dropping-particle" : "", "family" : "Heckbert", "given" : "", "non-dropping-particle" : "", "parse-names" : false, "suffix" : "" }, { "dropping-particle" : "", "family" : "Pouta", "given" : "a", "non-dropping-particle" : "", "parse-names" : false, "suffix" : "" }, { "dropping-particle" : "", "family" : "Smith", "given" : "Nl", "non-dropping-particle" : "", "parse-names" : false, "suffix" : "" }, { "dropping-particle" : "", "family" : "Heckbert", "given" : "", "non-dropping-particle" : "", "parse-names" : false, "suffix" : "" }, { "dropping-particle" : "", "family" : "Smith", "given" : "Nl", "non-dropping-particle" : "", "parse-names" : false, "suffix" : "" }, { "dropping-particle" : "", "family" : "Psaty", "given" : "Bm", "non-dropping-particle" : "", "parse-names" : false, "suffix" : "" }, { "dropping-particle" : "", "family" : "Hengstenberg", "given" : "C", "non-dropping-particle" : "", "parse-names" : false, "suffix" : "" }, { "dropping-particle" : "", "family" : "Hersch", "given" : "M", "non-dropping-particle" : "", "parse-names" : false, "suffix" : "" }, { "dropping-particle" : "", "family" : "Illig", "given" : "T", "non-dropping-particle" : "", "parse-names" : false, "suffix" : "" }, { "dropping-particle" : "", "family" : "K", "given" : "Tee Khaw", "non-dropping-particle" : "", "parse-names" : false, "suffix" : "" }, { "dropping-particle" : "", "family" : "K", "given" : "Tee Khaw", "non-dropping-particle" : "", "parse-names" : false, "suffix" : "" }, { "dropping-particle" : "", "family" : "Kyrtsonis", "given" : "M-C", "non-dropping-particle" : "", "parse-names" : false, "suffix" : "" }, { "dropping-particle" : "", "family" : "Lagou", "given" : "V", "non-dropping-particle" : "", "parse-names" : false, "suffix" : "" }, { "dropping-particle" : "", "family" : "Prokopenko", "given" : "I", "non-dropping-particle" : "", "parse-names" : false, "suffix" : "" }, { "dropping-particle" : "", "family" : "Lumley", "given" : "T", "non-dropping-particle" : "", "parse-names" : false, "suffix" : "" }, { "dropping-particle" : "", "family" : "Mcknight", "given" : "B", "non-dropping-particle" : "", "parse-names" : false, "suffix" : "" }, { "dropping-particle" : "", "family" : "Montgomery", "given" : "Gw", "non-dropping-particle" : "", "parse-names" : false, "suffix" : "" }, { "dropping-particle" : "", "family" : "Visscher", "given" : "Pm", "non-dropping-particle" : "", "parse-names" : false, "suffix" : "" }, { "dropping-particle" : "", "family" : "Martin", "given" : "Ng", "non-dropping-particle" : "", "parse-names" : false, "suffix" : "" }, { "dropping-particle" : "", "family" : "Ferreira", "given" : "Ma", "non-dropping-particle" : "", "parse-names" : false, "suffix" : "" }, { "dropping-particle" : "", "family" : "Nakamura", "given" : "Y", "non-dropping-particle" : "", "parse-names" : false, "suffix" : "" }, { "dropping-particle" : "", "family" : "Nauck", "given" : "M", "non-dropping-particle" : "", "parse-names" : false, "suffix" : "" }, { "dropping-particle" : "", "family" : "Navis", "given" : "G", "non-dropping-particle" : "", "parse-names" : false, "suffix" : "" }, { "dropping-particle" : "", "family" : "N\u00f6thlings", "given" : "U", "non-dropping-particle" : "", "parse-names" : false, "suffix" : "" }, { "dropping-particle" : "", "family" : "N\u00f6thlings", "given" : "U", "non-dropping-particle" : "", "parse-names" : false, "suffix" : "" }, { "dropping-particle" : "", "family" : "Nolte", "given" : "Im", "non-dropping-particle" : "", "parse-names" : false, "suffix" : "" }, { "dropping-particle" : "", "family" : "Snieder", "given" : "H", "non-dropping-particle" : "", "parse-names" : false, "suffix" : "" }, { "dropping-particle" : "", "family" : "Porteous", "given" : "Dj", "non-dropping-particle" : "", "parse-names" : false, "suffix" : "" }, { "dropping-particle" : "", "family" : "Pouta", "given" : "a", "non-dropping-particle" : "", "parse-names" : false, "suffix" : "" }, { "dropping-particle" : "", "family" : "Rotter", "given" : "Ji", "non-dropping-particle" : "", "parse-names" : false, "suffix" : "" }, { "dropping-particle" : "", "family" : "Taylor", "given" : "K", "non-dropping-particle" : "", "parse-names" : false, "suffix" : "" }, { "dropping-particle" : "", "family" : "Ruokonen", "given" : "a", "non-dropping-particle" : "", "parse-names" : false, "suffix" : "" }, { "dropping-particle" : "", "family" : "Sambrook", "given" : "J", "non-dropping-particle" : "", "parse-names" : false, "suffix" : "" }, { "dropping-particle" : "", "family" : "Bradley", "given" : "", "non-dropping-particle" : "", "parse-names" : false, "suffix" : "" }, { "dropping-particle" : "", "family" : "Ouwehand", "given" : "Wh", "non-dropping-particle" : "", "parse-names" : false, "suffix" : "" }, { "dropping-particle" : "", "family" : "Schlessinger", "given" : "D", "non-dropping-particle" : "", "parse-names" : false, "suffix" : "" }, { "dropping-particle" : "", "family" : "Scott", "given" : "J", "non-dropping-particle" : "", "parse-names" : false, "suffix" : "" }, { "dropping-particle" : "", "family" : "Kooner", "given" : "Js", "non-dropping-particle" : "", "parse-names" : false, "suffix" : "" }, { "dropping-particle" : "", "family" : "Smith", "given" : "Nl", "non-dropping-particle" : "", "parse-names" : false, "suffix" : "" }, { "dropping-particle" : "", "family" : "Starr", "given" : "Jm", "non-dropping-particle" : "", "parse-names" : false, "suffix" : "" }, { "dropping-particle" : "", "family" : "Stumvoll", "given" : "M", "non-dropping-particle" : "", "parse-names" : false, "suffix" : "" }, { "dropping-particle" : "", "family" : "T\u00f6njes", "given" : "a", "non-dropping-particle" : "", "parse-names" : false, "suffix" : "" }, { "dropping-particle" : "", "family" : "Wh", "given" : "Wilson Tang", "non-dropping-particle" : "", "parse-names" : false, "suffix" : "" }, { "dropping-particle" : "", "family" : "Hazen", "given" : "Sl", "non-dropping-particle" : "", "parse-names" : false, "suffix" : "" }, { "dropping-particle" : "", "family" : "Wh", "given" : "Wilson Tang", "non-dropping-particle" : "", "parse-names" : false, "suffix" : "" }, { "dropping-particle" : "", "family" : "Tenesa", "given" : "a", "non-dropping-particle" : "", "parse-names" : false, "suffix" : "" }, { "dropping-particle" : "", "family" : "Tenesa", "given" : "a", "non-dropping-particle" : "", "parse-names" : false, "suffix" : "" }, { "dropping-particle" : "", "family" : "S", "given" : "Lay Thein", "non-dropping-particle" : "", "parse-names" : false, "suffix" : "" }, { "dropping-particle" : "", "family" : "Wichmann", "given" : "H-E", "non-dropping-particle" : "", "parse-names" : false, "suffix" : "" }, { "dropping-particle" : "", "family" : "Zitting", "given" : "P", "non-dropping-particle" : "", "parse-names" : false, "suffix" : "" }, { "dropping-particle" : "", "family" : "Shuldiner", "given" : "Ar", "non-dropping-particle" : "", "parse-names" : false, "suffix" : "" }, { "dropping-particle" : "", "family" : "L", "given" : "Joost Van Pelt", "non-dropping-particle" : "", "parse-names" : false, "suffix" : "" }, { "dropping-particle" : "", "family" : "Zwaginga", "given" : "J-J", "non-dropping-particle" : "", "parse-names" : false, "suffix" : "" }, { "dropping-particle" : "", "family" : "Ganesh", "given" : "Sk", "non-dropping-particle" : "", "parse-names" : false, "suffix" : "" }, { "dropping-particle" : "", "family" : "Jarvelin", "given" : "M-R", "non-dropping-particle" : "", "parse-names" : false, "suffix" : "" }, { "dropping-particle" : "", "family" : "Jarvelin", "given" : "M-R", "non-dropping-particle" : "", "parse-names" : false, "suffix" : "" }, { "dropping-particle" : "", "family" : "Psaty", "given" : "Bm", "non-dropping-particle" : "", "parse-names" : false, "suffix" : "" }, { "dropping-particle" : "", "family" : "Akkerman", "given" : "J-Wn", "non-dropping-particle" : "", "parse-names" : false, "suffix" : "" }, { "dropping-particle" : "", "family" : "Greinacher", "given" : "a", "non-dropping-particle" : "", "parse-names" : false, "suffix" : "" }, { "dropping-particle" : "", "family" : "Jupe", "given" : "S", "non-dropping-particle" : "", "parse-names" : false, "suffix" : "" }, { "dropping-particle" : "", "family" : "Khadake", "given" : "J", "non-dropping-particle" : "", "parse-names" : false, "suffix" : "" }, { "dropping-particle" : "", "family" : "Wernisch", "given" : "L", "non-dropping-particle" : "", "parse-names" : false, "suffix" : "" }, { "dropping-particle" : "", "family" : "Rendon", "given" : "a", "non-dropping-particle" : "", "parse-names" : false, "suffix" : "" }, { "dropping-particle" : "", "family" : "Erdmann", "given" : "J", "non-dropping-particle" : "", "parse-names" : false, "suffix" : "" }, { "dropping-particle" : "", "family" : "Schunkert", "given" : "H", "non-dropping-particle" : "", "parse-names" : false, "suffix" : "" }, { "dropping-particle" : "", "family" : "Pirastu", "given" : "N", "non-dropping-particle" : "", "parse-names" : false, "suffix" : "" }, { "dropping-particle" : "", "family" : "Dadamo", "given" : "P", "non-dropping-particle" : "", "parse-names" : false, "suffix" : "" }, { "dropping-particle" : "", "family" : "Gasparini", "given" : "P", "non-dropping-particle" : "", "parse-names" : false, "suffix" : "" } ], "container-title" : "Nature", "id" : "ITEM-1", "issue" : "7376", "issued" : { "date-parts" : [ [ "2011" ] ] }, "page" : "201-208", "publisher" : "Nature Publishing Group", "title" : "New gene functions in megakaryopoiesis and platelet formation", "type" : "article-journal", "volume" : "480" }, "uris" : [ "http://www.mendeley.com/documents/?uuid=3df1a101-746f-4144-9799-96c307e9af75" ] } ], "mendeley" : { "formattedCitation" : "[35]", "plainTextFormattedCitation" : "[35]", "previouslyFormattedCitation" : "[35]"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[35]</w:t>
            </w:r>
            <w:r>
              <w:rPr>
                <w:rFonts w:ascii="Arial" w:hAnsi="Arial" w:cs="Arial"/>
                <w:sz w:val="18"/>
                <w:szCs w:val="18"/>
              </w:rPr>
              <w:fldChar w:fldCharType="end"/>
            </w:r>
          </w:p>
        </w:tc>
      </w:tr>
      <w:tr w:rsidR="000F7048" w:rsidRPr="00F50D94" w14:paraId="1E2C28E8" w14:textId="77777777" w:rsidTr="00F43643">
        <w:trPr>
          <w:trHeight w:val="404"/>
        </w:trPr>
        <w:tc>
          <w:tcPr>
            <w:tcW w:w="2178" w:type="dxa"/>
            <w:vAlign w:val="center"/>
          </w:tcPr>
          <w:p w14:paraId="40903242"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Chr19:</w:t>
            </w:r>
          </w:p>
          <w:p w14:paraId="76E4DA8D"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38896370 - 38898401</w:t>
            </w:r>
          </w:p>
        </w:tc>
        <w:tc>
          <w:tcPr>
            <w:tcW w:w="1659" w:type="dxa"/>
            <w:vAlign w:val="center"/>
          </w:tcPr>
          <w:p w14:paraId="44A1457D"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2</w:t>
            </w:r>
          </w:p>
        </w:tc>
        <w:tc>
          <w:tcPr>
            <w:tcW w:w="1851" w:type="dxa"/>
            <w:vAlign w:val="center"/>
          </w:tcPr>
          <w:p w14:paraId="79F3A665" w14:textId="77777777" w:rsidR="000F7048" w:rsidRPr="00A50C1F" w:rsidRDefault="000F7048" w:rsidP="00F43643">
            <w:pPr>
              <w:jc w:val="center"/>
              <w:rPr>
                <w:rFonts w:ascii="Arial" w:eastAsia="Times New Roman" w:hAnsi="Arial" w:cs="Arial"/>
                <w:sz w:val="18"/>
                <w:szCs w:val="18"/>
              </w:rPr>
            </w:pPr>
            <w:r w:rsidRPr="00A50C1F">
              <w:rPr>
                <w:rFonts w:ascii="Arial" w:eastAsia="Times New Roman" w:hAnsi="Arial" w:cs="Arial"/>
                <w:sz w:val="18"/>
                <w:szCs w:val="18"/>
              </w:rPr>
              <w:t>NKPD1</w:t>
            </w:r>
          </w:p>
        </w:tc>
        <w:tc>
          <w:tcPr>
            <w:tcW w:w="3240" w:type="dxa"/>
            <w:vAlign w:val="center"/>
          </w:tcPr>
          <w:p w14:paraId="134376AB"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71863545" w14:textId="77777777" w:rsidTr="00F43643">
        <w:trPr>
          <w:trHeight w:val="404"/>
        </w:trPr>
        <w:tc>
          <w:tcPr>
            <w:tcW w:w="2178" w:type="dxa"/>
            <w:vAlign w:val="center"/>
          </w:tcPr>
          <w:p w14:paraId="1F2A1B42"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Chr19:</w:t>
            </w:r>
          </w:p>
          <w:p w14:paraId="2D6477B0"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42063798 - 42065798</w:t>
            </w:r>
          </w:p>
        </w:tc>
        <w:tc>
          <w:tcPr>
            <w:tcW w:w="1659" w:type="dxa"/>
            <w:vAlign w:val="center"/>
          </w:tcPr>
          <w:p w14:paraId="02506412"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611BC4CE"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BCAT2</w:t>
            </w:r>
          </w:p>
        </w:tc>
        <w:tc>
          <w:tcPr>
            <w:tcW w:w="3240" w:type="dxa"/>
            <w:vAlign w:val="center"/>
          </w:tcPr>
          <w:p w14:paraId="0159EA82"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5E583997" w14:textId="77777777" w:rsidTr="00F43643">
        <w:trPr>
          <w:trHeight w:val="404"/>
        </w:trPr>
        <w:tc>
          <w:tcPr>
            <w:tcW w:w="2178" w:type="dxa"/>
            <w:vAlign w:val="center"/>
          </w:tcPr>
          <w:p w14:paraId="44B6932D"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Chr5:</w:t>
            </w:r>
          </w:p>
          <w:p w14:paraId="2B38F526"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15905159 - 15907165</w:t>
            </w:r>
          </w:p>
        </w:tc>
        <w:tc>
          <w:tcPr>
            <w:tcW w:w="1659" w:type="dxa"/>
            <w:vAlign w:val="center"/>
          </w:tcPr>
          <w:p w14:paraId="43217770"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3</w:t>
            </w:r>
          </w:p>
        </w:tc>
        <w:tc>
          <w:tcPr>
            <w:tcW w:w="1851" w:type="dxa"/>
            <w:vAlign w:val="center"/>
          </w:tcPr>
          <w:p w14:paraId="75EFEC36" w14:textId="77777777" w:rsidR="000F7048" w:rsidRPr="00A50C1F" w:rsidRDefault="000F7048" w:rsidP="00F43643">
            <w:pPr>
              <w:jc w:val="center"/>
              <w:rPr>
                <w:rFonts w:ascii="Arial" w:eastAsia="Times New Roman" w:hAnsi="Arial" w:cs="Arial"/>
                <w:sz w:val="18"/>
                <w:szCs w:val="18"/>
              </w:rPr>
            </w:pPr>
            <w:r w:rsidRPr="00A50C1F">
              <w:rPr>
                <w:rFonts w:ascii="Arial" w:eastAsia="Times New Roman" w:hAnsi="Arial" w:cs="Arial"/>
                <w:sz w:val="18"/>
                <w:szCs w:val="18"/>
              </w:rPr>
              <w:t>KCNIP4</w:t>
            </w:r>
          </w:p>
        </w:tc>
        <w:tc>
          <w:tcPr>
            <w:tcW w:w="3240" w:type="dxa"/>
            <w:vAlign w:val="center"/>
          </w:tcPr>
          <w:p w14:paraId="1045BC5F"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Obesity-related traits</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"10.1371/journal.pone.0051954", "ISBN" : "1932-6203 (Electronic)\\n1932-6203 (Linking)", "ISSN" : "19326203", "PMID" : "23251661", "abstract" : "Genetic variants responsible for susceptibility to obesity and its comorbidities among Hispanic children have not been identified. The VIVA LA FAMILIA Study was designed to genetically map childhood obesity and associated biological processes in the Hispanic population. A genome-wide association study (GWAS) entailed genotyping 1.1 million single nucleotide polymorphisms (SNPs) using the Illumina Infinium technology in 815 children. Measured genotype analysis was performed between genetic markers and obesity-related traits i.e., anthropometry, body composition, growth, metabolites, hormones, inflammation, diet, energy expenditure, substrate utilization and physical activity. Identified genome-wide significant loci: 1) corroborated genes implicated in other studies (MTNR1B, ZNF259/APOA5, XPA/FOXE1 (TTF-2), DARC, CCR3, ABO); 2) localized novel genes in plausible biological pathways (PCSK2, ARHGAP11A, CHRNA3); and 3) revealed novel genes with unknown function in obesity pathogenesis (MATK, COL4A1). Salient findings include a nonsynonymous SNP (rs1056513) in INADL (p = 1.2E-07) for weight; an intronic variant in MTNR1B associated with fasting glucose (p = 3.7E-08); variants in the APOA5-ZNF259 region associated with triglycerides (p = 2.5-4.8E-08); an intronic variant in PCSK2 associated with total antioxidants (p = 7.6E-08); a block of 23 SNPs in XPA/FOXE1 (TTF-2) associated with serum TSH (p = 5.5E-08 to 1.0E-09); a nonsynonymous SNP (p = 1.3E-21), an intronic SNP (p = 3.6E-13) in DARC identified for MCP-1; an intronic variant in ARHGAP11A associated with sleep duration (p = 5.0E-08); and, after adjusting for body weight, variants in MATK for total energy expenditure (p = 2.7E-08) and in CHRNA3 for sleeping energy expenditure (p = 6.0E-08). Unprecedented phenotyping and high-density SNP genotyping enabled localization of novel genetic loci associated with the pathophysiology of childhood obesity.", "author" : [ { "dropping-particle" : "", "family" : "Comuzzie", "given" : "Anthony G.", "non-dropping-particle" : "", "parse-names" : false, "suffix" : "" }, { "dropping-particle" : "", "family" : "Cole", "given" : "Shelley a.", "non-dropping-particle" : "", "parse-names" : false, "suffix" : "" }, { "dropping-particle" : "", "family" : "Laston", "given" : "Sandra L.", "non-dropping-particle" : "", "parse-names" : false, "suffix" : "" }, { "dropping-particle" : "", "family" : "Voruganti", "given" : "V. Saroja", "non-dropping-particle" : "", "parse-names" : false, "suffix" : "" }, { "dropping-particle" : "", "family" : "Haack", "given" : "Karin", "non-dropping-particle" : "", "parse-names" : false, "suffix" : "" }, { "dropping-particle" : "", "family" : "Gibbs", "given" : "Richard a.", "non-dropping-particle" : "", "parse-names" : false, "suffix" : "" }, { "dropping-particle" : "", "family" : "Butte", "given" : "Nancy F.", "non-dropping-particle" : "", "parse-names" : false, "suffix" : "" } ], "container-title" : "PLoS ONE", "id" : "ITEM-1", "issue" : "12", "issued" : { "date-parts" : [ [ "2012" ] ] }, "title" : "Novel Genetic Loci Identified for the Pathophysiology of Childhood Obesity in the Hispanic Population", "type" : "article-journal", "volume" : "7" }, "uris" : [ "http://www.mendeley.com/documents/?uuid=f53c946b-76c6-4c2a-ab44-53f7f30fb348" ] } ], "mendeley" : { "formattedCitation" : "[36]", "plainTextFormattedCitation" : "[36]", "previouslyFormattedCitation" : "[36]"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[36]</w:t>
            </w:r>
            <w:r>
              <w:rPr>
                <w:rFonts w:ascii="Arial" w:hAnsi="Arial" w:cs="Arial"/>
                <w:sz w:val="18"/>
                <w:szCs w:val="18"/>
              </w:rPr>
              <w:fldChar w:fldCharType="end"/>
            </w:r>
          </w:p>
        </w:tc>
      </w:tr>
      <w:tr w:rsidR="000F7048" w:rsidRPr="00F50D94" w14:paraId="689A349A" w14:textId="77777777" w:rsidTr="00F43643">
        <w:trPr>
          <w:trHeight w:val="597"/>
        </w:trPr>
        <w:tc>
          <w:tcPr>
            <w:tcW w:w="2178" w:type="dxa"/>
            <w:vAlign w:val="center"/>
          </w:tcPr>
          <w:p w14:paraId="79A62EB8"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Chr8:</w:t>
            </w:r>
          </w:p>
          <w:p w14:paraId="775B3304"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2948895 - 2950895</w:t>
            </w:r>
          </w:p>
        </w:tc>
        <w:tc>
          <w:tcPr>
            <w:tcW w:w="1659" w:type="dxa"/>
            <w:vAlign w:val="center"/>
          </w:tcPr>
          <w:p w14:paraId="00C10922"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08880764"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CSMD3</w:t>
            </w:r>
          </w:p>
        </w:tc>
        <w:tc>
          <w:tcPr>
            <w:tcW w:w="3240" w:type="dxa"/>
            <w:vAlign w:val="center"/>
          </w:tcPr>
          <w:p w14:paraId="659036FB"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Temperament</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"10.1038/tp.2012.37", "ISBN" : "2158-3188 (Electronic)\\r2158-3188 (Linking)", "ISSN" : "2158-3188", "PMID" : "22832960", "abstract" : "Temperament has a strongly heritable component, yet multiple independent genome-wide studies have failed to identify significant genetic associations. We have assembled the largest sample to date of persons with genome-wide genotype data, who have been assessed with Cloninger's Temperament and Character Inventory. Sum scores for novelty seeking, harm avoidance, reward dependence and persistence have been measured in over 11,000 persons collected in four different cohorts. Our study had &gt;80% power to identify genome-wide significant loci (P&lt;1.25 \u00d7 10(-8), with correction for testing four scales) accounting for \u22650.4% of the phenotypic variance in temperament scales. Using meta-analysis techniques, gene-based tests and pathway analysis we have tested over 1.2 million single-nucleotide polymorphisms (SNPs) for association to each of the four temperament dimensions. We did not discover any SNPs, genes, or pathways to be significantly related to the four temperament dimensions, after correcting for multiple testing. Less than 1% of the variability in any temperament dimension appears to be accounted for by a risk score derived from the SNPs showing strongest association to the temperament dimensions. Elucidation of genetic loci significantly influencing temperament and personality will require potentially very large samples, and/or a more refined phenotype. Item response theory methodology may be a way to incorporate data from cohorts assessed with multiple personality instruments, and might be a method by which a large sample of a more refined phenotype could be acquired.", "author" : [ { "dropping-particle" : "", "family" : "Service", "given" : "S K", "non-dropping-particle" : "", "parse-names" : false, "suffix" : "" }, { "dropping-particle" : "", "family" : "Verweij", "given" : "K J H", "non-dropping-particle" : "", "parse-names" : false, "suffix" : "" }, { "dropping-particle" : "", "family" : "Lahti", "given" : "J", "non-dropping-particle" : "", "parse-names" : false, "suffix" : "" }, { "dropping-particle" : "", "family" : "Congdon", "given" : "E", "non-dropping-particle" : "", "parse-names" : false, "suffix" : "" }, { "dropping-particle" : "", "family" : "Ekelund", "given" : "J", "non-dropping-particle" : "", "parse-names" : false, "suffix" : "" }, { "dropping-particle" : "", "family" : "Hintsanen", "given" : "M", "non-dropping-particle" : "", "parse-names" : false, "suffix" : "" }, { "dropping-particle" : "", "family" : "R\u00e4ikk\u00f6nen", "given" : "K", "non-dropping-particle" : "", "parse-names" : false, "suffix" : "" }, { "dropping-particle" : "", "family" : "Lehtim\u00e4ki", "given" : "T", "non-dropping-particle" : "", "parse-names" : false, "suffix" : "" }, { "dropping-particle" : "", "family" : "K\u00e4h\u00f6nen", "given" : "M", "non-dropping-particle" : "", "parse-names" : false, "suffix" : "" }, { "dropping-particle" : "", "family" : "Widen", "given" : "E", "non-dropping-particle" : "", "parse-names" : false, "suffix" : "" }, { "dropping-particle" : "", "family" : "Taanila", "given" : "a", "non-dropping-particle" : "", "parse-names" : false, "suffix" : "" }, { "dropping-particle" : "", "family" : "Veijola", "given" : "J", "non-dropping-particle" : "", "parse-names" : false, "suffix" : "" }, { "dropping-particle" : "", "family" : "Heath", "given" : "a C", "non-dropping-particle" : "", "parse-names" : false, "suffix" : "" }, { "dropping-particle" : "", "family" : "Madden", "given" : "P a F", "non-dropping-particle" : "", "parse-names" : false, "suffix" : "" }, { "dropping-particle" : "", "family" : "Montgomery", "given" : "G W", "non-dropping-particle" : "", "parse-names" : false, "suffix" : "" }, { "dropping-particle" : "", "family" : "Sabatti", "given" : "C", "non-dropping-particle" : "", "parse-names" : false, "suffix" : "" }, { "dropping-particle" : "", "family" : "J\u00e4rvelin", "given" : "M-R", "non-dropping-particle" : "", "parse-names" : false, "suffix" : "" }, { "dropping-particle" : "", "family" : "Palotie", "given" : "a", "non-dropping-particle" : "", "parse-names" : false, "suffix" : "" }, { "dropping-particle" : "", "family" : "Raitakari", "given" : "O", "non-dropping-particle" : "", "parse-names" : false, "suffix" : "" }, { "dropping-particle" : "", "family" : "Viikari", "given" : "J", "non-dropping-particle" : "", "parse-names" : false, "suffix" : "" }, { "dropping-particle" : "", "family" : "Martin", "given" : "N G", "non-dropping-particle" : "", "parse-names" : false, "suffix" : "" }, { "dropping-particle" : "", "family" : "Eriksson", "given" : "J G", "non-dropping-particle" : "", "parse-names" : false, "suffix" : "" }, { "dropping-particle" : "", "family" : "Keltikangas-J\u00e4rvinen", "given" : "L", "non-dropping-particle" : "", "parse-names" : false, "suffix" : "" }, { "dropping-particle" : "", "family" : "Wray", "given" : "N R", "non-dropping-particle" : "", "parse-names" : false, "suffix" : "" }, { "dropping-particle" : "", "family" : "Freimer", "given" : "N B", "non-dropping-particle" : "", "parse-names" : false, "suffix" : "" } ], "container-title" : "Translational Psychiatry", "id" : "ITEM-1", "issue" : "5", "issued" : { "date-parts" : [ [ "2012" ] ] }, "page" : "e116", "title" : "A genome-wide meta-analysis of association studies of Cloninger's Temperament Scales", "type" : "article-journal", "volume" : "2" }, "uris" : [ "http://www.mendeley.com/documents/?uuid=fbc4149f-448a-48fe-99bd-d49c040b3b44" ] } ], "mendeley" : { "formattedCitation" : "[37]", "plainTextFormattedCitation" : "[37]", "previouslyFormattedCitation" : "[37]"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[37]</w:t>
            </w:r>
            <w:r>
              <w:rPr>
                <w:rFonts w:ascii="Arial" w:hAnsi="Arial" w:cs="Arial"/>
                <w:sz w:val="18"/>
                <w:szCs w:val="18"/>
              </w:rPr>
              <w:fldChar w:fldCharType="end"/>
            </w:r>
            <w:r>
              <w:rPr>
                <w:rFonts w:ascii="Arial" w:hAnsi="Arial" w:cs="Arial"/>
                <w:sz w:val="18"/>
                <w:szCs w:val="18"/>
              </w:rPr>
              <w:t>;</w:t>
            </w:r>
            <w:r w:rsidRPr="00F50D94">
              <w:rPr>
                <w:rFonts w:ascii="Arial" w:hAnsi="Arial" w:cs="Arial"/>
                <w:sz w:val="18"/>
                <w:szCs w:val="18"/>
              </w:rPr>
              <w:t xml:space="preserve"> </w:t>
            </w:r>
            <w:r>
              <w:rPr>
                <w:rFonts w:ascii="Arial" w:hAnsi="Arial" w:cs="Arial"/>
                <w:sz w:val="18"/>
                <w:szCs w:val="18"/>
              </w:rPr>
              <w:t>P</w:t>
            </w:r>
            <w:r w:rsidRPr="00F50D94">
              <w:rPr>
                <w:rFonts w:ascii="Arial" w:hAnsi="Arial" w:cs="Arial"/>
                <w:sz w:val="18"/>
                <w:szCs w:val="18"/>
              </w:rPr>
              <w:t>eriodontal microbiota</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"10.1177/0022034512447951", "ISBN" : "1544-0591 (Electronic) 0022-0345 (Linking)", "ISSN" : "0022-0345", "PMID" : "22699663", "abstract" : "Pathological shifts of the human microbiome are characteristic of many diseases, including chronic periodontitis. To date, there is limited evidence on host genetic risk loci associated with periodontal pathogen colonization. We conducted a genome-wide association (GWA) study among 1,020 white participants of the Atherosclerosis Risk in Communities Study, whose periodontal diagnosis ranged from healthy to severe chronic periodontitis, and for whom \"checkerboard\" DNA-DNA hybridization quantification of 8 periodontal pathogens was performed. We examined 3 traits: \"high red\" and \"high orange\" bacterial complexes, and \"high\" Aggregatibacter actinomycetemcomitans (Aa) colonization. Genotyping was performed on the Affymetrix 6.0 platform. Imputation to 2.5 million markers was based on HapMap II-CEU, and a multiple-test correction was applied (genome-wide threshold of p &lt; 5 \u00d7 10(-8)). We detected no genome-wide significant signals. However, 13 loci, including KCNK1, FBXO38, UHRF2, IL33, RUNX2, TRPS1, CAMTA1, and VAMP3, provided suggestive evidence (p &lt; 5 \u00d7 10(-6)) of association. All associations reported for \"red\" and \"orange\" complex microbiota, but not for Aa, had the same effect direction in a second sample of 123 African-American participants. None of these polymorphisms was associated with periodontitis diagnosis. Investigations replicating these findings may lead to an improved understanding of the complex nature of host-microbiome interactions that characterizes states of health and disease.", "author" : [ { "dropping-particle" : "", "family" : "Divaris", "given" : "K.", "non-dropping-particle" : "", "parse-names" : false, "suffix" : "" }, { "dropping-particle" : "", "family" : "Monda", "given" : "K. L.", "non-dropping-particle" : "", "parse-names" : false, "suffix" : "" }, { "dropping-particle" : "", "family" : "North", "given" : "K. E.", "non-dropping-particle" : "", "parse-names" : false, "suffix" : "" }, { "dropping-particle" : "", "family" : "Olshan", "given" : "a. F.", "non-dropping-particle" : "", "parse-names" : false, "suffix" : "" }, { "dropping-particle" : "", "family" : "Lange", "given" : "E. M.", "non-dropping-particle" : "", "parse-names" : false, "suffix" : "" }, { "dropping-particle" : "", "family" : "Moss", "given" : "K.", "non-dropping-particle" : "", "parse-names" : false, "suffix" : "" }, { "dropping-particle" : "", "family" : "Barros", "given" : "S. P.", "non-dropping-particle" : "", "parse-names" : false, "suffix" : "" }, { "dropping-particle" : "", "family" : "Beck", "given" : "J. D.", "non-dropping-particle" : "", "parse-names" : false, "suffix" : "" }, { "dropping-particle" : "", "family" : "Offenbacher", "given" : "S.", "non-dropping-particle" : "", "parse-names" : false, "suffix" : "" } ], "container-title" : "Journal of Dental Research", "id" : "ITEM-1", "issue" : "7 Suppl", "issued" : { "date-parts" : [ [ "2012" ] ] }, "page" : "S21-S28", "title" : "Genome-wide Association Study of Periodontal Pathogen Colonization", "type" : "article-journal", "volume" : "91" }, "uris" : [ "http://www.mendeley.com/documents/?uuid=b41f63ce-afed-452c-afd9-69627f6780fd" ] } ], "mendeley" : { "formattedCitation" : "[38]", "plainTextFormattedCitation" : "[38]", "previouslyFormattedCitation" : "[38]"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[38]</w:t>
            </w:r>
            <w:r>
              <w:rPr>
                <w:rFonts w:ascii="Arial" w:hAnsi="Arial" w:cs="Arial"/>
                <w:sz w:val="18"/>
                <w:szCs w:val="18"/>
              </w:rPr>
              <w:fldChar w:fldCharType="end"/>
            </w:r>
          </w:p>
        </w:tc>
      </w:tr>
      <w:tr w:rsidR="000F7048" w:rsidRPr="00F50D94" w14:paraId="163BC898" w14:textId="77777777" w:rsidTr="00F43643">
        <w:trPr>
          <w:trHeight w:val="404"/>
        </w:trPr>
        <w:tc>
          <w:tcPr>
            <w:tcW w:w="2178" w:type="dxa"/>
            <w:vAlign w:val="center"/>
          </w:tcPr>
          <w:p w14:paraId="7EE0F260"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Chr8:</w:t>
            </w:r>
          </w:p>
          <w:p w14:paraId="16BF4570"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6806879 - 6808879</w:t>
            </w:r>
          </w:p>
        </w:tc>
        <w:tc>
          <w:tcPr>
            <w:tcW w:w="1659" w:type="dxa"/>
            <w:vAlign w:val="center"/>
          </w:tcPr>
          <w:p w14:paraId="42D79734"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63D08499"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ZNF705D</w:t>
            </w:r>
          </w:p>
        </w:tc>
        <w:tc>
          <w:tcPr>
            <w:tcW w:w="3240" w:type="dxa"/>
            <w:vAlign w:val="center"/>
          </w:tcPr>
          <w:p w14:paraId="517BD233"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5C8A39F6" w14:textId="77777777" w:rsidTr="00F43643">
        <w:trPr>
          <w:trHeight w:val="404"/>
        </w:trPr>
        <w:tc>
          <w:tcPr>
            <w:tcW w:w="2178" w:type="dxa"/>
            <w:vAlign w:val="center"/>
          </w:tcPr>
          <w:p w14:paraId="0E8B2F70"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Chr9:</w:t>
            </w:r>
          </w:p>
          <w:p w14:paraId="0CA7825B"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3192817 - 3194825</w:t>
            </w:r>
          </w:p>
        </w:tc>
        <w:tc>
          <w:tcPr>
            <w:tcW w:w="1659" w:type="dxa"/>
            <w:vAlign w:val="center"/>
          </w:tcPr>
          <w:p w14:paraId="1140860C"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2</w:t>
            </w:r>
          </w:p>
        </w:tc>
        <w:tc>
          <w:tcPr>
            <w:tcW w:w="1851" w:type="dxa"/>
            <w:vAlign w:val="center"/>
          </w:tcPr>
          <w:p w14:paraId="73633B8B"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PFKP</w:t>
            </w:r>
          </w:p>
        </w:tc>
        <w:tc>
          <w:tcPr>
            <w:tcW w:w="3240" w:type="dxa"/>
            <w:vAlign w:val="center"/>
          </w:tcPr>
          <w:p w14:paraId="40F044BF"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Obesity</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"10.1371/journal.pgen.0030115", "ISBN" : "1553-7404", "ISSN" : "15537390", "PMID" : "17658951", "abstract" : "The obesity epidemic is responsible for a substantial economic burden in developed countries and is a major risk factor for type 2 diabetes and cardiovascular disease. The disease is the result not only of several environmental risk factors, but also of genetic predisposition. To take advantage of recent advances in gene-mapping technology, we executed a genome-wide association scan to identify genetic variants associated with obesity-related quantitative traits in the genetically isolated population of Sardinia. Initial analysis suggested that several SNPs in the FTO and PFKP genes were associated with increased BMI, hip circumference, and weight. Within the FTO gene, rs9930506 showed the strongest association with BMI (p = 8.6 x10(-7)), hip circumference (p = 3.4 x 10(-8)), and weight (p = 9.1 x 10(-7)). In Sardinia, homozygotes for the rare \"G\" allele of this SNP (minor allele frequency = 0.46) were 1.3 BMI units heavier than homozygotes for the common \"A\" allele. Within the PFKP gene, rs6602024 showed very strong association with BMI (p = 4.9 x 10(-6)). Homozygotes for the rare \"A\" allele of this SNP (minor allele frequency = 0.12) were 1.8 BMI units heavier than homozygotes for the common \"G\" allele. To replicate our findings, we genotyped these two SNPs in the GenNet study. In European Americans (N = 1,496) and in Hispanic Americans (N = 839), we replicated significant association between rs9930506 in the FTO gene and BMI (p-value for meta-analysis of European American and Hispanic American follow-up samples, p = 0.001), weight (p = 0.001), and hip circumference (p = 0.0005). We did not replicate association between rs6602024 and obesity-related traits in the GenNet sample, although we found that in European Americans, Hispanic Americans, and African Americans, homozygotes for the rare \"A\" allele were, on average, 1.0-3.0 BMI units heavier than homozygotes for the more common \"G\" allele. In summary, we have completed a whole genome-association scan for three obesity-related quantitative traits and report that common genetic variants in the FTO gene are associated with substantial changes in BMI, hip circumference, and body weight. These changes could have a significant impact on the risk of obesity-related morbidity in the general population.", "author" : [ { "dropping-particle" : "", "family" : "Scuteri", "given" : "Angelo", "non-dropping-particle" : "", "parse-names" : false, "suffix" : "" }, { "dropping-particle" : "", "family" : "Sanna", "given" : "Serena", "non-dropping-particle" : "", "parse-names" : false, "suffix" : "" }, { "dropping-particle" : "", "family" : "Chen", "given" : "Wei Min", "non-dropping-particle" : "", "parse-names" : false, "suffix" : "" }, { "dropping-particle" : "", "family" : "Uda", "given" : "Manuela", "non-dropping-particle" : "", "parse-names" : false, "suffix" : "" }, { "dropping-particle" : "", "family" : "Albai", "given" : "Giuseppe", "non-dropping-particle" : "", "parse-names" : false, "suffix" : "" }, { "dropping-particle" : "", "family" : "Strait", "given" : "James", "non-dropping-particle" : "", "parse-names" : false, "suffix" : "" }, { "dropping-particle" : "", "family" : "Najjar", "given" : "Samer", "non-dropping-particle" : "", "parse-names" : false, "suffix" : "" }, { "dropping-particle" : "", "family" : "Nagaraja", "given" : "Ramaiah", "non-dropping-particle" : "", "parse-names" : false, "suffix" : "" }, { "dropping-particle" : "", "family" : "Orr\u00fa", "given" : "Marco", "non-dropping-particle" : "", "parse-names" : false, "suffix" : "" }, { "dropping-particle" : "", "family" : "Usala", "given" : "Gianluca", "non-dropping-particle" : "", "parse-names" : false, "suffix" : "" }, { "dropping-particle" : "", "family" : "Dei", "given" : "Mariano", "non-dropping-particle" : "", "parse-names" : false, "suffix" : "" }, { "dropping-particle" : "", "family" : "Lai", "given" : "Sandra", "non-dropping-particle" : "", "parse-names" : false, "suffix" : "" }, { "dropping-particle" : "", "family" : "Maschio", "given" : "Andrea", "non-dropping-particle" : "", "parse-names" : false, "suffix" : "" }, { "dropping-particle" : "", "family" : "Busonero", "given" : "Fabio", "non-dropping-particle" : "", "parse-names" : false, "suffix" : "" }, { "dropping-particle" : "", "family" : "Mulas", "given" : "Antonella", "non-dropping-particle" : "", "parse-names" : false, "suffix" : "" }, { "dropping-particle" : "", "family" : "Ehret", "given" : "Georg B.", "non-dropping-particle" : "", "parse-names" : false, "suffix" : "" }, { "dropping-particle" : "", "family" : "Fink", "given" : "Ashley a.", "non-dropping-particle" : "", "parse-names" : false, "suffix" : "" }, { "dropping-particle" : "", "family" : "Weder", "given" : "Alan B.", "non-dropping-particle" : "", "parse-names" : false, "suffix" : "" }, { "dropping-particle" : "", "family" : "Cooper", "given" : "Richard S.", "non-dropping-particle" : "", "parse-names" : false, "suffix" : "" }, { "dropping-particle" : "", "family" : "Galan", "given" : "Pilar", "non-dropping-particle" : "", "parse-names" : false, "suffix" : "" }, { "dropping-particle" : "", "family" : "Chakravarti", "given" : "Aravinda", "non-dropping-particle" : "", "parse-names" : false, "suffix" : "" }, { "dropping-particle" : "", "family" : "Schlessinger", "given" : "David", "non-dropping-particle" : "", "parse-names" : false, "suffix" : "" }, { "dropping-particle" : "", "family" : "Cao", "given" : "Antonio", "non-dropping-particle" : "", "parse-names" : false, "suffix" : "" }, { "dropping-particle" : "", "family" : "Lakatta", "given" : "Edward", "non-dropping-particle" : "", "parse-names" : false, "suffix" : "" }, { "dropping-particle" : "", "family" : "Abecasis", "given" : "Gon\u00e7alo R.", "non-dropping-particle" : "", "parse-names" : false, "suffix" : "" } ], "container-title" : "PLoS Genetics", "id" : "ITEM-1", "issue" : "7", "issued" : { "date-parts" : [ [ "2007" ] ] }, "page" : "1200-1210", "title" : "Genome-wide association scan shows genetic variants in the FTO gene are associated with obesity-related traits", "type" : "article-journal", "volume" : "3" }, "uris" : [ "http://www.mendeley.com/documents/?uuid=1ab432ad-dc84-4c55-8ec0-67781c2ff1ea" ] } ], "mendeley" : { "formattedCitation" : "[39]", "plainTextFormattedCitation" : "[39]", "previouslyFormattedCitation" : "[39]"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[39]</w:t>
            </w:r>
            <w:r>
              <w:rPr>
                <w:rFonts w:ascii="Arial" w:hAnsi="Arial" w:cs="Arial"/>
                <w:sz w:val="18"/>
                <w:szCs w:val="18"/>
              </w:rPr>
              <w:fldChar w:fldCharType="end"/>
            </w:r>
          </w:p>
        </w:tc>
      </w:tr>
      <w:tr w:rsidR="000F7048" w:rsidRPr="00F50D94" w14:paraId="6CFA2D2A" w14:textId="77777777" w:rsidTr="00F43643">
        <w:trPr>
          <w:trHeight w:val="404"/>
        </w:trPr>
        <w:tc>
          <w:tcPr>
            <w:tcW w:w="2178" w:type="dxa"/>
            <w:vAlign w:val="center"/>
          </w:tcPr>
          <w:p w14:paraId="3DDE85C2" w14:textId="77777777" w:rsidR="000F7048" w:rsidRPr="00100B6C" w:rsidRDefault="000F7048" w:rsidP="00F43643">
            <w:pPr>
              <w:jc w:val="center"/>
              <w:rPr>
                <w:rFonts w:ascii="Arial" w:hAnsi="Arial" w:cs="Arial"/>
                <w:sz w:val="18"/>
                <w:szCs w:val="18"/>
              </w:rPr>
            </w:pPr>
            <w:r w:rsidRPr="00100B6C">
              <w:rPr>
                <w:rFonts w:ascii="Arial" w:hAnsi="Arial" w:cs="Arial"/>
                <w:sz w:val="18"/>
                <w:szCs w:val="18"/>
              </w:rPr>
              <w:t>Chr9:</w:t>
            </w:r>
          </w:p>
          <w:p w14:paraId="1CBE32D4" w14:textId="77777777" w:rsidR="000F7048" w:rsidRPr="00100B6C" w:rsidRDefault="000F7048" w:rsidP="00F43643">
            <w:pPr>
              <w:jc w:val="center"/>
              <w:rPr>
                <w:rFonts w:ascii="Arial" w:hAnsi="Arial" w:cs="Arial"/>
                <w:sz w:val="18"/>
                <w:szCs w:val="18"/>
              </w:rPr>
            </w:pPr>
            <w:r w:rsidRPr="00100B6C">
              <w:rPr>
                <w:rFonts w:ascii="Arial" w:eastAsia="Times New Roman" w:hAnsi="Arial" w:cs="Arial"/>
                <w:sz w:val="18"/>
                <w:szCs w:val="18"/>
              </w:rPr>
              <w:t>3209124 - 3213314</w:t>
            </w:r>
          </w:p>
        </w:tc>
        <w:tc>
          <w:tcPr>
            <w:tcW w:w="1659" w:type="dxa"/>
            <w:vAlign w:val="center"/>
          </w:tcPr>
          <w:p w14:paraId="47B0B034"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30</w:t>
            </w:r>
          </w:p>
        </w:tc>
        <w:tc>
          <w:tcPr>
            <w:tcW w:w="1851" w:type="dxa"/>
            <w:vAlign w:val="center"/>
          </w:tcPr>
          <w:p w14:paraId="606495C7"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PFKP</w:t>
            </w:r>
          </w:p>
        </w:tc>
        <w:tc>
          <w:tcPr>
            <w:tcW w:w="3240" w:type="dxa"/>
            <w:vAlign w:val="center"/>
          </w:tcPr>
          <w:p w14:paraId="0DD2D9CC"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Obesity</w:t>
            </w:r>
            <w:r>
              <w:rPr>
                <w:rFonts w:ascii="Arial" w:hAnsi="Arial" w:cs="Arial"/>
                <w:sz w:val="18"/>
                <w:szCs w:val="18"/>
              </w:rPr>
              <w:t xml:space="preserve"> </w:t>
            </w:r>
            <w:r>
              <w:rPr>
                <w:rFonts w:ascii="Arial" w:hAnsi="Arial" w:cs="Arial"/>
                <w:sz w:val="18"/>
                <w:szCs w:val="18"/>
              </w:rPr>
              <w:fldChar w:fldCharType="begin" w:fldLock="1"/>
            </w:r>
            <w:r w:rsidR="00F43643">
              <w:rPr>
                <w:rFonts w:ascii="Arial" w:hAnsi="Arial" w:cs="Arial"/>
                <w:sz w:val="18"/>
                <w:szCs w:val="18"/>
              </w:rPr>
              <w:instrText>ADDIN CSL_CITATION { "citationItems" : [ { "id" : "ITEM-1", "itemData" : { "DOI" : "10.1371/journal.pgen.0030115", "ISBN" : "1553-7404", "ISSN" : "15537390", "PMID" : "17658951", "abstract" : "The obesity epidemic is responsible for a substantial economic burden in developed countries and is a major risk factor for type 2 diabetes and cardiovascular disease. The disease is the result not only of several environmental risk factors, but also of genetic predisposition. To take advantage of recent advances in gene-mapping technology, we executed a genome-wide association scan to identify genetic variants associated with obesity-related quantitative traits in the genetically isolated population of Sardinia. Initial analysis suggested that several SNPs in the FTO and PFKP genes were associated with increased BMI, hip circumference, and weight. Within the FTO gene, rs9930506 showed the strongest association with BMI (p = 8.6 x10(-7)), hip circumference (p = 3.4 x 10(-8)), and weight (p = 9.1 x 10(-7)). In Sardinia, homozygotes for the rare \"G\" allele of this SNP (minor allele frequency = 0.46) were 1.3 BMI units heavier than homozygotes for the common \"A\" allele. Within the PFKP gene, rs6602024 showed very strong association with BMI (p = 4.9 x 10(-6)). Homozygotes for the rare \"A\" allele of this SNP (minor allele frequency = 0.12) were 1.8 BMI units heavier than homozygotes for the common \"G\" allele. To replicate our findings, we genotyped these two SNPs in the GenNet study. In European Americans (N = 1,496) and in Hispanic Americans (N = 839), we replicated significant association between rs9930506 in the FTO gene and BMI (p-value for meta-analysis of European American and Hispanic American follow-up samples, p = 0.001), weight (p = 0.001), and hip circumference (p = 0.0005). We did not replicate association between rs6602024 and obesity-related traits in the GenNet sample, although we found that in European Americans, Hispanic Americans, and African Americans, homozygotes for the rare \"A\" allele were, on average, 1.0-3.0 BMI units heavier than homozygotes for the more common \"G\" allele. In summary, we have completed a whole genome-association scan for three obesity-related quantitative traits and report that common genetic variants in the FTO gene are associated with substantial changes in BMI, hip circumference, and body weight. These changes could have a significant impact on the risk of obesity-related morbidity in the general population.", "author" : [ { "dropping-particle" : "", "family" : "Scuteri", "given" : "Angelo", "non-dropping-particle" : "", "parse-names" : false, "suffix" : "" }, { "dropping-particle" : "", "family" : "Sanna", "given" : "Serena", "non-dropping-particle" : "", "parse-names" : false, "suffix" : "" }, { "dropping-particle" : "", "family" : "Chen", "given" : "Wei Min", "non-dropping-particle" : "", "parse-names" : false, "suffix" : "" }, { "dropping-particle" : "", "family" : "Uda", "given" : "Manuela", "non-dropping-particle" : "", "parse-names" : false, "suffix" : "" }, { "dropping-particle" : "", "family" : "Albai", "given" : "Giuseppe", "non-dropping-particle" : "", "parse-names" : false, "suffix" : "" }, { "dropping-particle" : "", "family" : "Strait", "given" : "James", "non-dropping-particle" : "", "parse-names" : false, "suffix" : "" }, { "dropping-particle" : "", "family" : "Najjar", "given" : "Samer", "non-dropping-particle" : "", "parse-names" : false, "suffix" : "" }, { "dropping-particle" : "", "family" : "Nagaraja", "given" : "Ramaiah", "non-dropping-particle" : "", "parse-names" : false, "suffix" : "" }, { "dropping-particle" : "", "family" : "Orr\u00fa", "given" : "Marco", "non-dropping-particle" : "", "parse-names" : false, "suffix" : "" }, { "dropping-particle" : "", "family" : "Usala", "given" : "Gianluca", "non-dropping-particle" : "", "parse-names" : false, "suffix" : "" }, { "dropping-particle" : "", "family" : "Dei", "given" : "Mariano", "non-dropping-particle" : "", "parse-names" : false, "suffix" : "" }, { "dropping-particle" : "", "family" : "Lai", "given" : "Sandra", "non-dropping-particle" : "", "parse-names" : false, "suffix" : "" }, { "dropping-particle" : "", "family" : "Maschio", "given" : "Andrea", "non-dropping-particle" : "", "parse-names" : false, "suffix" : "" }, { "dropping-particle" : "", "family" : "Busonero", "given" : "Fabio", "non-dropping-particle" : "", "parse-names" : false, "suffix" : "" }, { "dropping-particle" : "", "family" : "Mulas", "given" : "Antonella", "non-dropping-particle" : "", "parse-names" : false, "suffix" : "" }, { "dropping-particle" : "", "family" : "Ehret", "given" : "Georg B.", "non-dropping-particle" : "", "parse-names" : false, "suffix" : "" }, { "dropping-particle" : "", "family" : "Fink", "given" : "Ashley a.", "non-dropping-particle" : "", "parse-names" : false, "suffix" : "" }, { "dropping-particle" : "", "family" : "Weder", "given" : "Alan B.", "non-dropping-particle" : "", "parse-names" : false, "suffix" : "" }, { "dropping-particle" : "", "family" : "Cooper", "given" : "Richard S.", "non-dropping-particle" : "", "parse-names" : false, "suffix" : "" }, { "dropping-particle" : "", "family" : "Galan", "given" : "Pilar", "non-dropping-particle" : "", "parse-names" : false, "suffix" : "" }, { "dropping-particle" : "", "family" : "Chakravarti", "given" : "Aravinda", "non-dropping-particle" : "", "parse-names" : false, "suffix" : "" }, { "dropping-particle" : "", "family" : "Schlessinger", "given" : "David", "non-dropping-particle" : "", "parse-names" : false, "suffix" : "" }, { "dropping-particle" : "", "family" : "Cao", "given" : "Antonio", "non-dropping-particle" : "", "parse-names" : false, "suffix" : "" }, { "dropping-particle" : "", "family" : "Lakatta", "given" : "Edward", "non-dropping-particle" : "", "parse-names" : false, "suffix" : "" }, { "dropping-particle" : "", "family" : "Abecasis", "given" : "Gon\u00e7alo R.", "non-dropping-particle" : "", "parse-names" : false, "suffix" : "" } ], "container-title" : "PLoS Genetics", "id" : "ITEM-1", "issue" : "7", "issued" : { "date-parts" : [ [ "2007" ] ] }, "page" : "1200-1210", "title" : "Genome-wide association scan shows genetic variants in the FTO gene are associated with obesity-related traits", "type" : "article-journal", "volume" : "3" }, "uris" : [ "http://www.mendeley.com/documents/?uuid=1ab432ad-dc84-4c55-8ec0-67781c2ff1ea" ] } ], "mendeley" : { "formattedCitation" : "[39]", "plainTextFormattedCitation" : "[39]", "previouslyFormattedCitation" : "[39]" }, "properties" : { "noteIndex" : 0 }, "schema" : "https://github.com/citation-style-language/schema/raw/master/csl-citation.json" }</w:instrText>
            </w:r>
            <w:r>
              <w:rPr>
                <w:rFonts w:ascii="Arial" w:hAnsi="Arial" w:cs="Arial"/>
                <w:sz w:val="18"/>
                <w:szCs w:val="18"/>
              </w:rPr>
              <w:fldChar w:fldCharType="separate"/>
            </w:r>
            <w:r w:rsidR="00F43643" w:rsidRPr="00F43643">
              <w:rPr>
                <w:rFonts w:ascii="Arial" w:hAnsi="Arial" w:cs="Arial"/>
                <w:noProof/>
                <w:sz w:val="18"/>
                <w:szCs w:val="18"/>
              </w:rPr>
              <w:t>[39]</w:t>
            </w:r>
            <w:r>
              <w:rPr>
                <w:rFonts w:ascii="Arial" w:hAnsi="Arial" w:cs="Arial"/>
                <w:sz w:val="18"/>
                <w:szCs w:val="18"/>
              </w:rPr>
              <w:fldChar w:fldCharType="end"/>
            </w:r>
          </w:p>
        </w:tc>
      </w:tr>
      <w:tr w:rsidR="000F7048" w:rsidRPr="00F50D94" w14:paraId="272635CF" w14:textId="77777777" w:rsidTr="00F43643">
        <w:trPr>
          <w:trHeight w:val="211"/>
        </w:trPr>
        <w:tc>
          <w:tcPr>
            <w:tcW w:w="2178" w:type="dxa"/>
            <w:vAlign w:val="center"/>
          </w:tcPr>
          <w:p w14:paraId="54A39E17"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Chr10:</w:t>
            </w:r>
          </w:p>
          <w:p w14:paraId="23F4BFAF" w14:textId="77777777" w:rsidR="000F7048" w:rsidRPr="00100B6C" w:rsidRDefault="000F7048" w:rsidP="00F43643">
            <w:pPr>
              <w:jc w:val="center"/>
              <w:rPr>
                <w:rFonts w:ascii="Arial" w:hAnsi="Arial" w:cs="Arial"/>
                <w:sz w:val="18"/>
                <w:szCs w:val="18"/>
              </w:rPr>
            </w:pPr>
            <w:r w:rsidRPr="00100B6C">
              <w:rPr>
                <w:rFonts w:ascii="Arial" w:eastAsia="Times New Roman" w:hAnsi="Arial" w:cs="Arial"/>
                <w:sz w:val="18"/>
                <w:szCs w:val="18"/>
              </w:rPr>
              <w:t>84590364 - 84592364</w:t>
            </w:r>
          </w:p>
        </w:tc>
        <w:tc>
          <w:tcPr>
            <w:tcW w:w="1659" w:type="dxa"/>
            <w:vAlign w:val="center"/>
          </w:tcPr>
          <w:p w14:paraId="7F6A628E"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2F53D474"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KIAA1644</w:t>
            </w:r>
          </w:p>
        </w:tc>
        <w:tc>
          <w:tcPr>
            <w:tcW w:w="3240" w:type="dxa"/>
            <w:vAlign w:val="center"/>
          </w:tcPr>
          <w:p w14:paraId="3E0A2B26"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3CDF23D2" w14:textId="77777777" w:rsidTr="00F43643">
        <w:trPr>
          <w:trHeight w:val="404"/>
        </w:trPr>
        <w:tc>
          <w:tcPr>
            <w:tcW w:w="2178" w:type="dxa"/>
            <w:vAlign w:val="center"/>
          </w:tcPr>
          <w:p w14:paraId="7FEB1A57"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Chr20:</w:t>
            </w:r>
          </w:p>
          <w:p w14:paraId="795E7B21"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67076699 - 67078699</w:t>
            </w:r>
          </w:p>
        </w:tc>
        <w:tc>
          <w:tcPr>
            <w:tcW w:w="1659" w:type="dxa"/>
            <w:vAlign w:val="center"/>
          </w:tcPr>
          <w:p w14:paraId="38A6A730"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6C689C33"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c>
          <w:tcPr>
            <w:tcW w:w="3240" w:type="dxa"/>
            <w:vAlign w:val="center"/>
          </w:tcPr>
          <w:p w14:paraId="043D4079"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NA</w:t>
            </w:r>
          </w:p>
        </w:tc>
      </w:tr>
      <w:tr w:rsidR="000F7048" w:rsidRPr="00F50D94" w14:paraId="45416DBE" w14:textId="77777777" w:rsidTr="00F43643">
        <w:trPr>
          <w:trHeight w:val="597"/>
        </w:trPr>
        <w:tc>
          <w:tcPr>
            <w:tcW w:w="2178" w:type="dxa"/>
            <w:vAlign w:val="center"/>
          </w:tcPr>
          <w:p w14:paraId="576DFC2A"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Chr7:</w:t>
            </w:r>
          </w:p>
          <w:p w14:paraId="316FBF09" w14:textId="77777777" w:rsidR="000F7048" w:rsidRPr="00100B6C" w:rsidRDefault="000F7048" w:rsidP="00F43643">
            <w:pPr>
              <w:jc w:val="center"/>
              <w:rPr>
                <w:rFonts w:ascii="Arial" w:hAnsi="Arial" w:cs="Arial"/>
                <w:sz w:val="18"/>
                <w:szCs w:val="18"/>
              </w:rPr>
            </w:pPr>
            <w:r w:rsidRPr="00100B6C">
              <w:rPr>
                <w:rFonts w:ascii="Arial" w:eastAsia="Times New Roman" w:hAnsi="Arial" w:cs="Arial"/>
                <w:sz w:val="18"/>
                <w:szCs w:val="18"/>
              </w:rPr>
              <w:t>157297300 - 157299300</w:t>
            </w:r>
          </w:p>
        </w:tc>
        <w:tc>
          <w:tcPr>
            <w:tcW w:w="1659" w:type="dxa"/>
            <w:vAlign w:val="center"/>
          </w:tcPr>
          <w:p w14:paraId="270085B3"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5A15FE2A"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MEG9</w:t>
            </w:r>
          </w:p>
        </w:tc>
        <w:tc>
          <w:tcPr>
            <w:tcW w:w="3240" w:type="dxa"/>
            <w:vAlign w:val="center"/>
          </w:tcPr>
          <w:p w14:paraId="18C47ECE"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r w:rsidR="000F7048" w:rsidRPr="00F50D94" w14:paraId="2D06642E" w14:textId="77777777" w:rsidTr="00F43643">
        <w:trPr>
          <w:trHeight w:val="458"/>
        </w:trPr>
        <w:tc>
          <w:tcPr>
            <w:tcW w:w="2178" w:type="dxa"/>
            <w:vAlign w:val="center"/>
          </w:tcPr>
          <w:p w14:paraId="7A1BE1BE" w14:textId="77777777" w:rsidR="000F7048" w:rsidRPr="00100B6C" w:rsidRDefault="000F7048" w:rsidP="00F43643">
            <w:pPr>
              <w:jc w:val="center"/>
              <w:rPr>
                <w:rFonts w:ascii="Arial" w:eastAsia="Times New Roman" w:hAnsi="Arial" w:cs="Arial"/>
                <w:sz w:val="18"/>
                <w:szCs w:val="18"/>
              </w:rPr>
            </w:pPr>
            <w:r w:rsidRPr="00100B6C">
              <w:rPr>
                <w:rFonts w:ascii="Arial" w:eastAsia="Times New Roman" w:hAnsi="Arial" w:cs="Arial"/>
                <w:sz w:val="18"/>
                <w:szCs w:val="18"/>
              </w:rPr>
              <w:t>Chr6:</w:t>
            </w:r>
          </w:p>
          <w:p w14:paraId="1AB0406B" w14:textId="77777777" w:rsidR="000F7048" w:rsidRPr="00100B6C" w:rsidRDefault="000F7048" w:rsidP="00F43643">
            <w:pPr>
              <w:jc w:val="center"/>
              <w:rPr>
                <w:rFonts w:ascii="Arial" w:hAnsi="Arial" w:cs="Arial"/>
                <w:sz w:val="18"/>
                <w:szCs w:val="18"/>
              </w:rPr>
            </w:pPr>
            <w:r w:rsidRPr="00100B6C">
              <w:rPr>
                <w:rFonts w:ascii="Arial" w:eastAsia="Times New Roman" w:hAnsi="Arial" w:cs="Arial"/>
                <w:sz w:val="18"/>
                <w:szCs w:val="18"/>
              </w:rPr>
              <w:t>173378126 - 173380126</w:t>
            </w:r>
          </w:p>
        </w:tc>
        <w:tc>
          <w:tcPr>
            <w:tcW w:w="1659" w:type="dxa"/>
            <w:vAlign w:val="center"/>
          </w:tcPr>
          <w:p w14:paraId="76A40F3A"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1</w:t>
            </w:r>
          </w:p>
        </w:tc>
        <w:tc>
          <w:tcPr>
            <w:tcW w:w="1851" w:type="dxa"/>
            <w:vAlign w:val="center"/>
          </w:tcPr>
          <w:p w14:paraId="0EE9136B"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RASGEF1C</w:t>
            </w:r>
          </w:p>
        </w:tc>
        <w:tc>
          <w:tcPr>
            <w:tcW w:w="3240" w:type="dxa"/>
            <w:vAlign w:val="center"/>
          </w:tcPr>
          <w:p w14:paraId="1E9AA05A" w14:textId="77777777" w:rsidR="000F7048" w:rsidRPr="00F50D94" w:rsidRDefault="000F7048" w:rsidP="00F43643">
            <w:pPr>
              <w:jc w:val="center"/>
              <w:rPr>
                <w:rFonts w:ascii="Arial" w:hAnsi="Arial" w:cs="Arial"/>
                <w:sz w:val="18"/>
                <w:szCs w:val="18"/>
              </w:rPr>
            </w:pPr>
            <w:r w:rsidRPr="00F50D94">
              <w:rPr>
                <w:rFonts w:ascii="Arial" w:hAnsi="Arial" w:cs="Arial"/>
                <w:sz w:val="18"/>
                <w:szCs w:val="18"/>
              </w:rPr>
              <w:t>None</w:t>
            </w:r>
          </w:p>
        </w:tc>
      </w:tr>
    </w:tbl>
    <w:p w14:paraId="693DF720" w14:textId="77777777" w:rsidR="000F7048" w:rsidRDefault="000F7048" w:rsidP="000F7048">
      <w:pPr>
        <w:pStyle w:val="Heading1"/>
        <w:spacing w:line="240" w:lineRule="auto"/>
      </w:pPr>
    </w:p>
    <w:p w14:paraId="093E6C3B" w14:textId="77777777" w:rsidR="000F7048" w:rsidRPr="00165280" w:rsidRDefault="000F7048" w:rsidP="000F7048"/>
    <w:p w14:paraId="3ACAD299" w14:textId="77777777" w:rsidR="00031973" w:rsidRDefault="00031973"/>
    <w:sectPr w:rsidR="00031973" w:rsidSect="00F43643">
      <w:footerReference w:type="even" r:id="rId18"/>
      <w:footerReference w:type="defaul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C4E65" w14:textId="77777777" w:rsidR="004B1CDA" w:rsidRDefault="004B1CDA">
      <w:r>
        <w:separator/>
      </w:r>
    </w:p>
  </w:endnote>
  <w:endnote w:type="continuationSeparator" w:id="0">
    <w:p w14:paraId="37076032" w14:textId="77777777" w:rsidR="004B1CDA" w:rsidRDefault="004B1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Gothic">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99925" w14:textId="77777777" w:rsidR="004B1CDA" w:rsidRDefault="004B1CDA" w:rsidP="00F436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0C64DF89" w14:textId="77777777" w:rsidR="004B1CDA" w:rsidRDefault="004B1CD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A8C6F" w14:textId="77777777" w:rsidR="004B1CDA" w:rsidRDefault="004B1CDA" w:rsidP="00F436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6977">
      <w:rPr>
        <w:rStyle w:val="PageNumber"/>
        <w:noProof/>
      </w:rPr>
      <w:t>1</w:t>
    </w:r>
    <w:r>
      <w:rPr>
        <w:rStyle w:val="PageNumber"/>
      </w:rPr>
      <w:fldChar w:fldCharType="end"/>
    </w:r>
  </w:p>
  <w:p w14:paraId="079A869F" w14:textId="77777777" w:rsidR="004B1CDA" w:rsidRDefault="004B1C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F0C33" w14:textId="77777777" w:rsidR="004B1CDA" w:rsidRDefault="004B1CDA">
      <w:r>
        <w:separator/>
      </w:r>
    </w:p>
  </w:footnote>
  <w:footnote w:type="continuationSeparator" w:id="0">
    <w:p w14:paraId="1FE6D682" w14:textId="77777777" w:rsidR="004B1CDA" w:rsidRDefault="004B1C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048"/>
    <w:rsid w:val="00031973"/>
    <w:rsid w:val="000A7EDB"/>
    <w:rsid w:val="000F7048"/>
    <w:rsid w:val="003E5F54"/>
    <w:rsid w:val="004B1CDA"/>
    <w:rsid w:val="00C06977"/>
    <w:rsid w:val="00F436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E518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048"/>
    <w:rPr>
      <w:rFonts w:ascii="Times" w:hAnsi="Times"/>
      <w:sz w:val="20"/>
      <w:szCs w:val="20"/>
    </w:rPr>
  </w:style>
  <w:style w:type="paragraph" w:styleId="Heading1">
    <w:name w:val="heading 1"/>
    <w:basedOn w:val="Normal"/>
    <w:next w:val="Normal"/>
    <w:link w:val="Heading1Char"/>
    <w:uiPriority w:val="9"/>
    <w:qFormat/>
    <w:rsid w:val="000F7048"/>
    <w:pPr>
      <w:keepNext/>
      <w:keepLines/>
      <w:spacing w:before="480" w:line="480" w:lineRule="auto"/>
      <w:outlineLvl w:val="0"/>
    </w:pPr>
    <w:rPr>
      <w:rFonts w:ascii="Arial" w:eastAsiaTheme="majorEastAsia"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048"/>
    <w:rPr>
      <w:rFonts w:ascii="Arial" w:eastAsiaTheme="majorEastAsia" w:hAnsi="Arial" w:cs="Arial"/>
      <w:b/>
      <w:bCs/>
      <w:sz w:val="22"/>
      <w:szCs w:val="22"/>
    </w:rPr>
  </w:style>
  <w:style w:type="character" w:customStyle="1" w:styleId="CommentTextChar">
    <w:name w:val="Comment Text Char"/>
    <w:basedOn w:val="DefaultParagraphFont"/>
    <w:link w:val="CommentText"/>
    <w:rsid w:val="000F7048"/>
  </w:style>
  <w:style w:type="paragraph" w:styleId="CommentText">
    <w:name w:val="annotation text"/>
    <w:basedOn w:val="Normal"/>
    <w:link w:val="CommentTextChar"/>
    <w:unhideWhenUsed/>
    <w:rsid w:val="000F7048"/>
    <w:rPr>
      <w:rFonts w:asciiTheme="minorHAnsi" w:hAnsiTheme="minorHAnsi"/>
      <w:sz w:val="24"/>
      <w:szCs w:val="24"/>
    </w:rPr>
  </w:style>
  <w:style w:type="character" w:customStyle="1" w:styleId="BalloonTextChar">
    <w:name w:val="Balloon Text Char"/>
    <w:basedOn w:val="DefaultParagraphFont"/>
    <w:link w:val="BalloonText"/>
    <w:uiPriority w:val="99"/>
    <w:semiHidden/>
    <w:rsid w:val="000F7048"/>
    <w:rPr>
      <w:rFonts w:ascii="Lucida Grande" w:hAnsi="Lucida Grande" w:cs="Lucida Grande"/>
      <w:sz w:val="18"/>
      <w:szCs w:val="18"/>
    </w:rPr>
  </w:style>
  <w:style w:type="paragraph" w:styleId="BalloonText">
    <w:name w:val="Balloon Text"/>
    <w:basedOn w:val="Normal"/>
    <w:link w:val="BalloonTextChar"/>
    <w:uiPriority w:val="99"/>
    <w:semiHidden/>
    <w:unhideWhenUsed/>
    <w:rsid w:val="000F7048"/>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0F7048"/>
    <w:rPr>
      <w:rFonts w:ascii="Times" w:hAnsi="Times"/>
      <w:b/>
      <w:bCs/>
      <w:sz w:val="20"/>
      <w:szCs w:val="20"/>
    </w:rPr>
  </w:style>
  <w:style w:type="paragraph" w:styleId="CommentSubject">
    <w:name w:val="annotation subject"/>
    <w:basedOn w:val="CommentText"/>
    <w:next w:val="CommentText"/>
    <w:link w:val="CommentSubjectChar"/>
    <w:uiPriority w:val="99"/>
    <w:semiHidden/>
    <w:unhideWhenUsed/>
    <w:rsid w:val="000F7048"/>
    <w:rPr>
      <w:rFonts w:ascii="Times" w:hAnsi="Times"/>
      <w:b/>
      <w:bCs/>
      <w:sz w:val="20"/>
      <w:szCs w:val="20"/>
    </w:rPr>
  </w:style>
  <w:style w:type="character" w:customStyle="1" w:styleId="DocumentMapChar">
    <w:name w:val="Document Map Char"/>
    <w:basedOn w:val="DefaultParagraphFont"/>
    <w:link w:val="DocumentMap"/>
    <w:uiPriority w:val="99"/>
    <w:semiHidden/>
    <w:rsid w:val="000F7048"/>
    <w:rPr>
      <w:rFonts w:ascii="Lucida Grande" w:hAnsi="Lucida Grande" w:cs="Lucida Grande"/>
    </w:rPr>
  </w:style>
  <w:style w:type="paragraph" w:styleId="DocumentMap">
    <w:name w:val="Document Map"/>
    <w:basedOn w:val="Normal"/>
    <w:link w:val="DocumentMapChar"/>
    <w:uiPriority w:val="99"/>
    <w:semiHidden/>
    <w:unhideWhenUsed/>
    <w:rsid w:val="000F7048"/>
    <w:rPr>
      <w:rFonts w:ascii="Lucida Grande" w:hAnsi="Lucida Grande" w:cs="Lucida Grande"/>
      <w:sz w:val="24"/>
      <w:szCs w:val="24"/>
    </w:rPr>
  </w:style>
  <w:style w:type="character" w:customStyle="1" w:styleId="HeaderChar">
    <w:name w:val="Header Char"/>
    <w:basedOn w:val="DefaultParagraphFont"/>
    <w:link w:val="Header"/>
    <w:uiPriority w:val="99"/>
    <w:rsid w:val="000F7048"/>
    <w:rPr>
      <w:rFonts w:ascii="Times" w:hAnsi="Times"/>
      <w:sz w:val="20"/>
      <w:szCs w:val="20"/>
    </w:rPr>
  </w:style>
  <w:style w:type="paragraph" w:styleId="Header">
    <w:name w:val="header"/>
    <w:basedOn w:val="Normal"/>
    <w:link w:val="HeaderChar"/>
    <w:uiPriority w:val="99"/>
    <w:unhideWhenUsed/>
    <w:rsid w:val="000F7048"/>
    <w:pPr>
      <w:tabs>
        <w:tab w:val="center" w:pos="4320"/>
        <w:tab w:val="right" w:pos="8640"/>
      </w:tabs>
    </w:pPr>
  </w:style>
  <w:style w:type="character" w:customStyle="1" w:styleId="FooterChar">
    <w:name w:val="Footer Char"/>
    <w:basedOn w:val="DefaultParagraphFont"/>
    <w:link w:val="Footer"/>
    <w:uiPriority w:val="99"/>
    <w:rsid w:val="000F7048"/>
    <w:rPr>
      <w:rFonts w:ascii="Times" w:hAnsi="Times"/>
      <w:sz w:val="20"/>
      <w:szCs w:val="20"/>
    </w:rPr>
  </w:style>
  <w:style w:type="paragraph" w:styleId="Footer">
    <w:name w:val="footer"/>
    <w:basedOn w:val="Normal"/>
    <w:link w:val="FooterChar"/>
    <w:uiPriority w:val="99"/>
    <w:unhideWhenUsed/>
    <w:rsid w:val="000F7048"/>
    <w:pPr>
      <w:tabs>
        <w:tab w:val="center" w:pos="4320"/>
        <w:tab w:val="right" w:pos="8640"/>
      </w:tabs>
    </w:pPr>
  </w:style>
  <w:style w:type="paragraph" w:styleId="TOC1">
    <w:name w:val="toc 1"/>
    <w:basedOn w:val="Normal"/>
    <w:next w:val="Normal"/>
    <w:autoRedefine/>
    <w:uiPriority w:val="39"/>
    <w:unhideWhenUsed/>
    <w:rsid w:val="000F7048"/>
    <w:pPr>
      <w:tabs>
        <w:tab w:val="right" w:leader="dot" w:pos="9180"/>
      </w:tabs>
      <w:spacing w:before="120"/>
      <w:ind w:right="180"/>
    </w:pPr>
    <w:rPr>
      <w:rFonts w:ascii="Arial" w:hAnsi="Arial" w:cs="Arial"/>
      <w:noProof/>
      <w:sz w:val="22"/>
      <w:szCs w:val="22"/>
    </w:rPr>
  </w:style>
  <w:style w:type="paragraph" w:styleId="NormalWeb">
    <w:name w:val="Normal (Web)"/>
    <w:basedOn w:val="Normal"/>
    <w:uiPriority w:val="99"/>
    <w:unhideWhenUsed/>
    <w:rsid w:val="000F7048"/>
    <w:pPr>
      <w:spacing w:before="100" w:beforeAutospacing="1" w:after="100" w:afterAutospacing="1"/>
    </w:pPr>
    <w:rPr>
      <w:rFonts w:cs="Times New Roman"/>
    </w:rPr>
  </w:style>
  <w:style w:type="character" w:styleId="PageNumber">
    <w:name w:val="page number"/>
    <w:basedOn w:val="DefaultParagraphFont"/>
    <w:uiPriority w:val="99"/>
    <w:semiHidden/>
    <w:unhideWhenUsed/>
    <w:rsid w:val="000F7048"/>
  </w:style>
  <w:style w:type="character" w:styleId="LineNumber">
    <w:name w:val="line number"/>
    <w:basedOn w:val="DefaultParagraphFont"/>
    <w:uiPriority w:val="99"/>
    <w:semiHidden/>
    <w:unhideWhenUsed/>
    <w:rsid w:val="000A7EDB"/>
  </w:style>
  <w:style w:type="table" w:styleId="LightShading">
    <w:name w:val="Light Shading"/>
    <w:basedOn w:val="TableNormal"/>
    <w:uiPriority w:val="60"/>
    <w:rsid w:val="003E5F5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048"/>
    <w:rPr>
      <w:rFonts w:ascii="Times" w:hAnsi="Times"/>
      <w:sz w:val="20"/>
      <w:szCs w:val="20"/>
    </w:rPr>
  </w:style>
  <w:style w:type="paragraph" w:styleId="Heading1">
    <w:name w:val="heading 1"/>
    <w:basedOn w:val="Normal"/>
    <w:next w:val="Normal"/>
    <w:link w:val="Heading1Char"/>
    <w:uiPriority w:val="9"/>
    <w:qFormat/>
    <w:rsid w:val="000F7048"/>
    <w:pPr>
      <w:keepNext/>
      <w:keepLines/>
      <w:spacing w:before="480" w:line="480" w:lineRule="auto"/>
      <w:outlineLvl w:val="0"/>
    </w:pPr>
    <w:rPr>
      <w:rFonts w:ascii="Arial" w:eastAsiaTheme="majorEastAsia"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048"/>
    <w:rPr>
      <w:rFonts w:ascii="Arial" w:eastAsiaTheme="majorEastAsia" w:hAnsi="Arial" w:cs="Arial"/>
      <w:b/>
      <w:bCs/>
      <w:sz w:val="22"/>
      <w:szCs w:val="22"/>
    </w:rPr>
  </w:style>
  <w:style w:type="character" w:customStyle="1" w:styleId="CommentTextChar">
    <w:name w:val="Comment Text Char"/>
    <w:basedOn w:val="DefaultParagraphFont"/>
    <w:link w:val="CommentText"/>
    <w:rsid w:val="000F7048"/>
  </w:style>
  <w:style w:type="paragraph" w:styleId="CommentText">
    <w:name w:val="annotation text"/>
    <w:basedOn w:val="Normal"/>
    <w:link w:val="CommentTextChar"/>
    <w:unhideWhenUsed/>
    <w:rsid w:val="000F7048"/>
    <w:rPr>
      <w:rFonts w:asciiTheme="minorHAnsi" w:hAnsiTheme="minorHAnsi"/>
      <w:sz w:val="24"/>
      <w:szCs w:val="24"/>
    </w:rPr>
  </w:style>
  <w:style w:type="character" w:customStyle="1" w:styleId="BalloonTextChar">
    <w:name w:val="Balloon Text Char"/>
    <w:basedOn w:val="DefaultParagraphFont"/>
    <w:link w:val="BalloonText"/>
    <w:uiPriority w:val="99"/>
    <w:semiHidden/>
    <w:rsid w:val="000F7048"/>
    <w:rPr>
      <w:rFonts w:ascii="Lucida Grande" w:hAnsi="Lucida Grande" w:cs="Lucida Grande"/>
      <w:sz w:val="18"/>
      <w:szCs w:val="18"/>
    </w:rPr>
  </w:style>
  <w:style w:type="paragraph" w:styleId="BalloonText">
    <w:name w:val="Balloon Text"/>
    <w:basedOn w:val="Normal"/>
    <w:link w:val="BalloonTextChar"/>
    <w:uiPriority w:val="99"/>
    <w:semiHidden/>
    <w:unhideWhenUsed/>
    <w:rsid w:val="000F7048"/>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0F7048"/>
    <w:rPr>
      <w:rFonts w:ascii="Times" w:hAnsi="Times"/>
      <w:b/>
      <w:bCs/>
      <w:sz w:val="20"/>
      <w:szCs w:val="20"/>
    </w:rPr>
  </w:style>
  <w:style w:type="paragraph" w:styleId="CommentSubject">
    <w:name w:val="annotation subject"/>
    <w:basedOn w:val="CommentText"/>
    <w:next w:val="CommentText"/>
    <w:link w:val="CommentSubjectChar"/>
    <w:uiPriority w:val="99"/>
    <w:semiHidden/>
    <w:unhideWhenUsed/>
    <w:rsid w:val="000F7048"/>
    <w:rPr>
      <w:rFonts w:ascii="Times" w:hAnsi="Times"/>
      <w:b/>
      <w:bCs/>
      <w:sz w:val="20"/>
      <w:szCs w:val="20"/>
    </w:rPr>
  </w:style>
  <w:style w:type="character" w:customStyle="1" w:styleId="DocumentMapChar">
    <w:name w:val="Document Map Char"/>
    <w:basedOn w:val="DefaultParagraphFont"/>
    <w:link w:val="DocumentMap"/>
    <w:uiPriority w:val="99"/>
    <w:semiHidden/>
    <w:rsid w:val="000F7048"/>
    <w:rPr>
      <w:rFonts w:ascii="Lucida Grande" w:hAnsi="Lucida Grande" w:cs="Lucida Grande"/>
    </w:rPr>
  </w:style>
  <w:style w:type="paragraph" w:styleId="DocumentMap">
    <w:name w:val="Document Map"/>
    <w:basedOn w:val="Normal"/>
    <w:link w:val="DocumentMapChar"/>
    <w:uiPriority w:val="99"/>
    <w:semiHidden/>
    <w:unhideWhenUsed/>
    <w:rsid w:val="000F7048"/>
    <w:rPr>
      <w:rFonts w:ascii="Lucida Grande" w:hAnsi="Lucida Grande" w:cs="Lucida Grande"/>
      <w:sz w:val="24"/>
      <w:szCs w:val="24"/>
    </w:rPr>
  </w:style>
  <w:style w:type="character" w:customStyle="1" w:styleId="HeaderChar">
    <w:name w:val="Header Char"/>
    <w:basedOn w:val="DefaultParagraphFont"/>
    <w:link w:val="Header"/>
    <w:uiPriority w:val="99"/>
    <w:rsid w:val="000F7048"/>
    <w:rPr>
      <w:rFonts w:ascii="Times" w:hAnsi="Times"/>
      <w:sz w:val="20"/>
      <w:szCs w:val="20"/>
    </w:rPr>
  </w:style>
  <w:style w:type="paragraph" w:styleId="Header">
    <w:name w:val="header"/>
    <w:basedOn w:val="Normal"/>
    <w:link w:val="HeaderChar"/>
    <w:uiPriority w:val="99"/>
    <w:unhideWhenUsed/>
    <w:rsid w:val="000F7048"/>
    <w:pPr>
      <w:tabs>
        <w:tab w:val="center" w:pos="4320"/>
        <w:tab w:val="right" w:pos="8640"/>
      </w:tabs>
    </w:pPr>
  </w:style>
  <w:style w:type="character" w:customStyle="1" w:styleId="FooterChar">
    <w:name w:val="Footer Char"/>
    <w:basedOn w:val="DefaultParagraphFont"/>
    <w:link w:val="Footer"/>
    <w:uiPriority w:val="99"/>
    <w:rsid w:val="000F7048"/>
    <w:rPr>
      <w:rFonts w:ascii="Times" w:hAnsi="Times"/>
      <w:sz w:val="20"/>
      <w:szCs w:val="20"/>
    </w:rPr>
  </w:style>
  <w:style w:type="paragraph" w:styleId="Footer">
    <w:name w:val="footer"/>
    <w:basedOn w:val="Normal"/>
    <w:link w:val="FooterChar"/>
    <w:uiPriority w:val="99"/>
    <w:unhideWhenUsed/>
    <w:rsid w:val="000F7048"/>
    <w:pPr>
      <w:tabs>
        <w:tab w:val="center" w:pos="4320"/>
        <w:tab w:val="right" w:pos="8640"/>
      </w:tabs>
    </w:pPr>
  </w:style>
  <w:style w:type="paragraph" w:styleId="TOC1">
    <w:name w:val="toc 1"/>
    <w:basedOn w:val="Normal"/>
    <w:next w:val="Normal"/>
    <w:autoRedefine/>
    <w:uiPriority w:val="39"/>
    <w:unhideWhenUsed/>
    <w:rsid w:val="000F7048"/>
    <w:pPr>
      <w:tabs>
        <w:tab w:val="right" w:leader="dot" w:pos="9180"/>
      </w:tabs>
      <w:spacing w:before="120"/>
      <w:ind w:right="180"/>
    </w:pPr>
    <w:rPr>
      <w:rFonts w:ascii="Arial" w:hAnsi="Arial" w:cs="Arial"/>
      <w:noProof/>
      <w:sz w:val="22"/>
      <w:szCs w:val="22"/>
    </w:rPr>
  </w:style>
  <w:style w:type="paragraph" w:styleId="NormalWeb">
    <w:name w:val="Normal (Web)"/>
    <w:basedOn w:val="Normal"/>
    <w:uiPriority w:val="99"/>
    <w:unhideWhenUsed/>
    <w:rsid w:val="000F7048"/>
    <w:pPr>
      <w:spacing w:before="100" w:beforeAutospacing="1" w:after="100" w:afterAutospacing="1"/>
    </w:pPr>
    <w:rPr>
      <w:rFonts w:cs="Times New Roman"/>
    </w:rPr>
  </w:style>
  <w:style w:type="character" w:styleId="PageNumber">
    <w:name w:val="page number"/>
    <w:basedOn w:val="DefaultParagraphFont"/>
    <w:uiPriority w:val="99"/>
    <w:semiHidden/>
    <w:unhideWhenUsed/>
    <w:rsid w:val="000F7048"/>
  </w:style>
  <w:style w:type="character" w:styleId="LineNumber">
    <w:name w:val="line number"/>
    <w:basedOn w:val="DefaultParagraphFont"/>
    <w:uiPriority w:val="99"/>
    <w:semiHidden/>
    <w:unhideWhenUsed/>
    <w:rsid w:val="000A7EDB"/>
  </w:style>
  <w:style w:type="table" w:styleId="LightShading">
    <w:name w:val="Light Shading"/>
    <w:basedOn w:val="TableNormal"/>
    <w:uiPriority w:val="60"/>
    <w:rsid w:val="003E5F5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026828">
      <w:bodyDiv w:val="1"/>
      <w:marLeft w:val="0"/>
      <w:marRight w:val="0"/>
      <w:marTop w:val="0"/>
      <w:marBottom w:val="0"/>
      <w:divBdr>
        <w:top w:val="none" w:sz="0" w:space="0" w:color="auto"/>
        <w:left w:val="none" w:sz="0" w:space="0" w:color="auto"/>
        <w:bottom w:val="none" w:sz="0" w:space="0" w:color="auto"/>
        <w:right w:val="none" w:sz="0" w:space="0" w:color="auto"/>
      </w:divBdr>
      <w:divsChild>
        <w:div w:id="72830535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34</Pages>
  <Words>48675</Words>
  <Characters>277450</Characters>
  <Application>Microsoft Macintosh Word</Application>
  <DocSecurity>0</DocSecurity>
  <Lines>2312</Lines>
  <Paragraphs>650</Paragraphs>
  <ScaleCrop>false</ScaleCrop>
  <Company>Duke University</Company>
  <LinksUpToDate>false</LinksUpToDate>
  <CharactersWithSpaces>325475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Lea</dc:creator>
  <cp:keywords/>
  <dc:description/>
  <cp:lastModifiedBy>Amanda Lea</cp:lastModifiedBy>
  <cp:revision>4</cp:revision>
  <dcterms:created xsi:type="dcterms:W3CDTF">2015-10-18T16:52:00Z</dcterms:created>
  <dcterms:modified xsi:type="dcterms:W3CDTF">2015-10-18T18:50:00Z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amanda.lea@duke.edu@www.mendeley.com</vt:lpwstr>
  </property>
  <property fmtid="{D5CDD505-2E9C-101B-9397-08002B2CF9AE}" pid="4" name="Mendeley Citation Style_1">
    <vt:lpwstr>http://www.zotero.org/styles/plos-genetics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http://www.zotero.org/styles/animal-behaviour</vt:lpwstr>
  </property>
  <property fmtid="{D5CDD505-2E9C-101B-9397-08002B2CF9AE}" pid="10" name="Mendeley Recent Style Name 2_1">
    <vt:lpwstr>Animal Behaviour</vt:lpwstr>
  </property>
  <property fmtid="{D5CDD505-2E9C-101B-9397-08002B2CF9AE}" pid="11" name="Mendeley Recent Style Id 3_1">
    <vt:lpwstr>http://www.zotero.org/styles/behavioral-ecology</vt:lpwstr>
  </property>
  <property fmtid="{D5CDD505-2E9C-101B-9397-08002B2CF9AE}" pid="12" name="Mendeley Recent Style Name 3_1">
    <vt:lpwstr>Behavioral Ecology</vt:lpwstr>
  </property>
  <property fmtid="{D5CDD505-2E9C-101B-9397-08002B2CF9AE}" pid="13" name="Mendeley Recent Style Id 4_1">
    <vt:lpwstr>http://www.zotero.org/styles/molecular-ecology</vt:lpwstr>
  </property>
  <property fmtid="{D5CDD505-2E9C-101B-9397-08002B2CF9AE}" pid="14" name="Mendeley Recent Style Name 4_1">
    <vt:lpwstr>Molecular Ecology</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http://www.zotero.org/styles/plos-genetics</vt:lpwstr>
  </property>
  <property fmtid="{D5CDD505-2E9C-101B-9397-08002B2CF9AE}" pid="18" name="Mendeley Recent Style Name 6_1">
    <vt:lpwstr>PLOS Genetics</vt:lpwstr>
  </property>
  <property fmtid="{D5CDD505-2E9C-101B-9397-08002B2CF9AE}" pid="19" name="Mendeley Recent Style Id 7_1">
    <vt:lpwstr>http://www.zotero.org/styles/pnas</vt:lpwstr>
  </property>
  <property fmtid="{D5CDD505-2E9C-101B-9397-08002B2CF9AE}" pid="20" name="Mendeley Recent Style Name 7_1">
    <vt:lpwstr>Proceedings of the National Academy of Sciences of the United States of America</vt:lpwstr>
  </property>
  <property fmtid="{D5CDD505-2E9C-101B-9397-08002B2CF9AE}" pid="21" name="Mendeley Recent Style Id 8_1">
    <vt:lpwstr>http://www.zotero.org/styles/science-without-titles</vt:lpwstr>
  </property>
  <property fmtid="{D5CDD505-2E9C-101B-9397-08002B2CF9AE}" pid="22" name="Mendeley Recent Style Name 8_1">
    <vt:lpwstr>Science (without titles)</vt:lpwstr>
  </property>
  <property fmtid="{D5CDD505-2E9C-101B-9397-08002B2CF9AE}" pid="23" name="Mendeley Recent Style Id 9_1">
    <vt:lpwstr>http://www.zotero.org/styles/the-american-naturalist</vt:lpwstr>
  </property>
  <property fmtid="{D5CDD505-2E9C-101B-9397-08002B2CF9AE}" pid="24" name="Mendeley Recent Style Name 9_1">
    <vt:lpwstr>The American Naturalist</vt:lpwstr>
  </property>
</Properties>
</file>